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AC8EA" w14:textId="77777777" w:rsidR="00330992" w:rsidRPr="00041C0E" w:rsidRDefault="00330992" w:rsidP="00F66867">
      <w:pPr>
        <w:tabs>
          <w:tab w:val="num" w:pos="1440"/>
        </w:tabs>
        <w:ind w:left="1440" w:hanging="360"/>
        <w:rPr>
          <w:rFonts w:cstheme="minorHAnsi"/>
          <w:sz w:val="24"/>
        </w:rPr>
      </w:pPr>
    </w:p>
    <w:p w14:paraId="0003E845" w14:textId="70615BED" w:rsidR="00330992" w:rsidRPr="00611C4E" w:rsidRDefault="00330992" w:rsidP="00041C0E">
      <w:pPr>
        <w:pStyle w:val="Default"/>
        <w:ind w:left="108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611C4E">
        <w:rPr>
          <w:rFonts w:asciiTheme="minorHAnsi" w:hAnsiTheme="minorHAnsi" w:cstheme="minorHAnsi"/>
          <w:b/>
          <w:bCs/>
          <w:sz w:val="36"/>
          <w:szCs w:val="36"/>
        </w:rPr>
        <w:t>Cena Víta Brandy</w:t>
      </w:r>
      <w:r w:rsidR="00666761">
        <w:rPr>
          <w:rFonts w:asciiTheme="minorHAnsi" w:hAnsiTheme="minorHAnsi" w:cstheme="minorHAnsi"/>
          <w:b/>
          <w:bCs/>
          <w:sz w:val="36"/>
          <w:szCs w:val="36"/>
        </w:rPr>
        <w:t xml:space="preserve"> 2021</w:t>
      </w:r>
      <w:r w:rsidRPr="00611C4E">
        <w:rPr>
          <w:rFonts w:asciiTheme="minorHAnsi" w:hAnsiTheme="minorHAnsi" w:cstheme="minorHAnsi"/>
          <w:b/>
          <w:bCs/>
          <w:sz w:val="36"/>
          <w:szCs w:val="36"/>
        </w:rPr>
        <w:t>: Přihláška do soutěže</w:t>
      </w:r>
    </w:p>
    <w:p w14:paraId="5813D5AC" w14:textId="7C7B13C3" w:rsidR="00330992" w:rsidRPr="00666761" w:rsidRDefault="00611C4E" w:rsidP="00330992">
      <w:pPr>
        <w:pStyle w:val="Default"/>
        <w:ind w:left="1080"/>
        <w:rPr>
          <w:rFonts w:asciiTheme="minorHAnsi" w:hAnsiTheme="minorHAnsi" w:cstheme="minorHAnsi"/>
          <w:i/>
          <w:iCs/>
        </w:rPr>
      </w:pPr>
      <w:r w:rsidRPr="00666761">
        <w:rPr>
          <w:rFonts w:asciiTheme="minorHAnsi" w:hAnsiTheme="minorHAnsi" w:cstheme="minorHAnsi"/>
          <w:i/>
          <w:iCs/>
        </w:rPr>
        <w:t xml:space="preserve">Prosíme o vyplnění </w:t>
      </w:r>
      <w:r w:rsidR="00666761" w:rsidRPr="00666761">
        <w:rPr>
          <w:rFonts w:asciiTheme="minorHAnsi" w:hAnsiTheme="minorHAnsi" w:cstheme="minorHAnsi"/>
          <w:i/>
          <w:iCs/>
        </w:rPr>
        <w:t xml:space="preserve">následujících položek. Odeslání je možné do 15. </w:t>
      </w:r>
      <w:r w:rsidR="00D25A54">
        <w:rPr>
          <w:rFonts w:asciiTheme="minorHAnsi" w:hAnsiTheme="minorHAnsi" w:cstheme="minorHAnsi"/>
          <w:i/>
          <w:iCs/>
        </w:rPr>
        <w:t>1</w:t>
      </w:r>
      <w:r w:rsidR="00666761" w:rsidRPr="00666761">
        <w:rPr>
          <w:rFonts w:asciiTheme="minorHAnsi" w:hAnsiTheme="minorHAnsi" w:cstheme="minorHAnsi"/>
          <w:i/>
          <w:iCs/>
        </w:rPr>
        <w:t>. 202</w:t>
      </w:r>
      <w:r w:rsidR="00D25A54">
        <w:rPr>
          <w:rFonts w:asciiTheme="minorHAnsi" w:hAnsiTheme="minorHAnsi" w:cstheme="minorHAnsi"/>
          <w:i/>
          <w:iCs/>
        </w:rPr>
        <w:t>2</w:t>
      </w:r>
    </w:p>
    <w:p w14:paraId="6D95ED9D" w14:textId="77777777" w:rsidR="00330992" w:rsidRPr="00041C0E" w:rsidRDefault="00330992" w:rsidP="00330992">
      <w:pPr>
        <w:pStyle w:val="Default"/>
        <w:ind w:left="1080"/>
        <w:rPr>
          <w:rFonts w:asciiTheme="minorHAnsi" w:hAnsiTheme="minorHAnsi" w:cstheme="minorHAnsi"/>
        </w:rPr>
      </w:pPr>
    </w:p>
    <w:p w14:paraId="6D4F415C" w14:textId="77777777" w:rsidR="00330992" w:rsidRPr="00041C0E" w:rsidRDefault="00330992" w:rsidP="00330992">
      <w:pPr>
        <w:pStyle w:val="Default"/>
        <w:ind w:left="1080"/>
        <w:rPr>
          <w:rFonts w:asciiTheme="minorHAnsi" w:hAnsiTheme="minorHAnsi" w:cstheme="minorHAnsi"/>
        </w:rPr>
      </w:pPr>
    </w:p>
    <w:p w14:paraId="15F74E08" w14:textId="77777777" w:rsidR="005F0209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Stručná anotace – charakteristika a popis stavby či opatření</w:t>
      </w:r>
    </w:p>
    <w:p w14:paraId="51B5125D" w14:textId="77777777" w:rsidR="005F0209" w:rsidRPr="00DE1DE2" w:rsidRDefault="005F0209" w:rsidP="005F0209">
      <w:pPr>
        <w:spacing w:line="276" w:lineRule="auto"/>
        <w:jc w:val="both"/>
        <w:rPr>
          <w:rFonts w:cs="Arial"/>
          <w:sz w:val="10"/>
          <w:szCs w:val="10"/>
        </w:rPr>
      </w:pPr>
    </w:p>
    <w:p w14:paraId="3829DF54" w14:textId="77777777" w:rsidR="005F0209" w:rsidRPr="005F0209" w:rsidRDefault="005F0209" w:rsidP="005F0209">
      <w:pPr>
        <w:pStyle w:val="Default"/>
        <w:ind w:left="360"/>
        <w:jc w:val="both"/>
        <w:rPr>
          <w:rFonts w:asciiTheme="minorHAnsi" w:hAnsiTheme="minorHAnsi" w:cstheme="minorHAnsi"/>
          <w:b/>
        </w:rPr>
      </w:pPr>
      <w:r w:rsidRPr="005F0209">
        <w:rPr>
          <w:rFonts w:asciiTheme="minorHAnsi" w:hAnsiTheme="minorHAnsi" w:cstheme="minorHAnsi"/>
          <w:b/>
        </w:rPr>
        <w:t>Komunikační propojení Slováckého náměstí se sídlištěm Olšava</w:t>
      </w:r>
    </w:p>
    <w:p w14:paraId="61719585" w14:textId="54E03590" w:rsidR="00F66867" w:rsidRDefault="005F0209" w:rsidP="005F0209">
      <w:pPr>
        <w:pStyle w:val="Default"/>
        <w:ind w:left="360"/>
        <w:jc w:val="both"/>
        <w:rPr>
          <w:rFonts w:asciiTheme="minorHAnsi" w:hAnsiTheme="minorHAnsi" w:cstheme="minorHAnsi"/>
        </w:rPr>
      </w:pPr>
      <w:r w:rsidRPr="005F0209">
        <w:rPr>
          <w:rFonts w:asciiTheme="minorHAnsi" w:hAnsiTheme="minorHAnsi" w:cstheme="minorHAnsi"/>
        </w:rPr>
        <w:t xml:space="preserve">Cílem výstavby bylo co nejbezpečnější </w:t>
      </w:r>
      <w:r w:rsidR="00D83DA3">
        <w:rPr>
          <w:rFonts w:asciiTheme="minorHAnsi" w:hAnsiTheme="minorHAnsi" w:cstheme="minorHAnsi"/>
        </w:rPr>
        <w:t xml:space="preserve">pěší a cyklistické </w:t>
      </w:r>
      <w:r w:rsidRPr="005F0209">
        <w:rPr>
          <w:rFonts w:asciiTheme="minorHAnsi" w:hAnsiTheme="minorHAnsi" w:cstheme="minorHAnsi"/>
        </w:rPr>
        <w:t>propojení sídliště Olšava s dalšími částmi města</w:t>
      </w:r>
      <w:r>
        <w:rPr>
          <w:rFonts w:asciiTheme="minorHAnsi" w:hAnsiTheme="minorHAnsi" w:cstheme="minorHAnsi"/>
        </w:rPr>
        <w:t xml:space="preserve"> Uherský Brod</w:t>
      </w:r>
      <w:r w:rsidRPr="005F0209">
        <w:rPr>
          <w:rFonts w:asciiTheme="minorHAnsi" w:hAnsiTheme="minorHAnsi" w:cstheme="minorHAnsi"/>
        </w:rPr>
        <w:t xml:space="preserve">. Nejen značná vzdálenost sídliště, ale hlavně existence </w:t>
      </w:r>
      <w:r w:rsidR="00D83DA3">
        <w:rPr>
          <w:rFonts w:asciiTheme="minorHAnsi" w:hAnsiTheme="minorHAnsi" w:cstheme="minorHAnsi"/>
        </w:rPr>
        <w:t xml:space="preserve">3 významných liniových </w:t>
      </w:r>
      <w:r w:rsidRPr="005F0209">
        <w:rPr>
          <w:rFonts w:asciiTheme="minorHAnsi" w:hAnsiTheme="minorHAnsi" w:cstheme="minorHAnsi"/>
        </w:rPr>
        <w:t>bariér, které je nutno překonat (železnice, státní silnice I/50 a tok řeky Olšavy)</w:t>
      </w:r>
      <w:r>
        <w:rPr>
          <w:rFonts w:asciiTheme="minorHAnsi" w:hAnsiTheme="minorHAnsi" w:cstheme="minorHAnsi"/>
        </w:rPr>
        <w:t>, izolovaly</w:t>
      </w:r>
      <w:r w:rsidRPr="005F0209">
        <w:rPr>
          <w:rFonts w:asciiTheme="minorHAnsi" w:hAnsiTheme="minorHAnsi" w:cstheme="minorHAnsi"/>
        </w:rPr>
        <w:t xml:space="preserve"> sídliště od </w:t>
      </w:r>
      <w:r w:rsidR="00D83DA3">
        <w:rPr>
          <w:rFonts w:asciiTheme="minorHAnsi" w:hAnsiTheme="minorHAnsi" w:cstheme="minorHAnsi"/>
        </w:rPr>
        <w:t xml:space="preserve">centra města a </w:t>
      </w:r>
      <w:r>
        <w:rPr>
          <w:rFonts w:asciiTheme="minorHAnsi" w:hAnsiTheme="minorHAnsi" w:cstheme="minorHAnsi"/>
        </w:rPr>
        <w:t>ostatních částí města</w:t>
      </w:r>
      <w:r w:rsidRPr="005F0209">
        <w:rPr>
          <w:rFonts w:asciiTheme="minorHAnsi" w:hAnsiTheme="minorHAnsi" w:cstheme="minorHAnsi"/>
        </w:rPr>
        <w:t>. Jmenované bariéry tvoř</w:t>
      </w:r>
      <w:r>
        <w:rPr>
          <w:rFonts w:asciiTheme="minorHAnsi" w:hAnsiTheme="minorHAnsi" w:cstheme="minorHAnsi"/>
        </w:rPr>
        <w:t>ily</w:t>
      </w:r>
      <w:r w:rsidRPr="005F0209">
        <w:rPr>
          <w:rFonts w:asciiTheme="minorHAnsi" w:hAnsiTheme="minorHAnsi" w:cstheme="minorHAnsi"/>
        </w:rPr>
        <w:t xml:space="preserve"> obtížně překonatelné překážky zejména pro pěší včetně hendikepovaných občanů, pro rodiče s kočárky a samozřejmě cyklisty, kteří trasu používají zejména pro dojížďku do zaměstnání do areálu firmy Slováckých strojíren, a. s. a </w:t>
      </w:r>
      <w:r w:rsidR="00D83DA3">
        <w:rPr>
          <w:rFonts w:asciiTheme="minorHAnsi" w:hAnsiTheme="minorHAnsi" w:cstheme="minorHAnsi"/>
        </w:rPr>
        <w:t xml:space="preserve">až </w:t>
      </w:r>
      <w:r w:rsidRPr="005F0209">
        <w:rPr>
          <w:rFonts w:asciiTheme="minorHAnsi" w:hAnsiTheme="minorHAnsi" w:cstheme="minorHAnsi"/>
        </w:rPr>
        <w:t>do nivnické průmyslové zóny</w:t>
      </w:r>
      <w:r w:rsidR="00D83DA3">
        <w:rPr>
          <w:rFonts w:asciiTheme="minorHAnsi" w:hAnsiTheme="minorHAnsi" w:cstheme="minorHAnsi"/>
        </w:rPr>
        <w:t xml:space="preserve"> (např. </w:t>
      </w:r>
      <w:proofErr w:type="spellStart"/>
      <w:r w:rsidR="00D83DA3">
        <w:rPr>
          <w:rFonts w:asciiTheme="minorHAnsi" w:hAnsiTheme="minorHAnsi" w:cstheme="minorHAnsi"/>
        </w:rPr>
        <w:t>AdriaGold</w:t>
      </w:r>
      <w:proofErr w:type="spellEnd"/>
      <w:r w:rsidR="00D83DA3">
        <w:rPr>
          <w:rFonts w:asciiTheme="minorHAnsi" w:hAnsiTheme="minorHAnsi" w:cstheme="minorHAnsi"/>
        </w:rPr>
        <w:t>, Linea Nivnice)</w:t>
      </w:r>
      <w:r w:rsidRPr="005F0209">
        <w:rPr>
          <w:rFonts w:asciiTheme="minorHAnsi" w:hAnsiTheme="minorHAnsi" w:cstheme="minorHAnsi"/>
        </w:rPr>
        <w:t xml:space="preserve">. Současně je výstavbou lávek vyřešeno napojení nejen centra, ale téměř celého území města na již zbudovanou Cyklistickou stezku Uherský Brod - Nivnice </w:t>
      </w:r>
      <w:r w:rsidR="00D83DA3">
        <w:rPr>
          <w:rFonts w:asciiTheme="minorHAnsi" w:hAnsiTheme="minorHAnsi" w:cstheme="minorHAnsi"/>
        </w:rPr>
        <w:t xml:space="preserve">(spolufinancováno SFDI) </w:t>
      </w:r>
      <w:r w:rsidRPr="005F0209">
        <w:rPr>
          <w:rFonts w:asciiTheme="minorHAnsi" w:hAnsiTheme="minorHAnsi" w:cstheme="minorHAnsi"/>
        </w:rPr>
        <w:t>a dále napojení do širokého regionu Slovácka s řadou cyklistických stezek vedoucích až k Baťovu kanálu. Stavba je vhodně navržena ve s</w:t>
      </w:r>
      <w:r>
        <w:rPr>
          <w:rFonts w:asciiTheme="minorHAnsi" w:hAnsiTheme="minorHAnsi" w:cstheme="minorHAnsi"/>
        </w:rPr>
        <w:t xml:space="preserve">távající zástavbě a v maximální </w:t>
      </w:r>
      <w:r w:rsidRPr="005F0209">
        <w:rPr>
          <w:rFonts w:asciiTheme="minorHAnsi" w:hAnsiTheme="minorHAnsi" w:cstheme="minorHAnsi"/>
        </w:rPr>
        <w:t>míře zachovává její stávaj</w:t>
      </w:r>
      <w:r>
        <w:rPr>
          <w:rFonts w:asciiTheme="minorHAnsi" w:hAnsiTheme="minorHAnsi" w:cstheme="minorHAnsi"/>
        </w:rPr>
        <w:t xml:space="preserve">ící </w:t>
      </w:r>
      <w:r w:rsidRPr="005F0209">
        <w:rPr>
          <w:rFonts w:asciiTheme="minorHAnsi" w:hAnsiTheme="minorHAnsi" w:cstheme="minorHAnsi"/>
        </w:rPr>
        <w:t>ráz.</w:t>
      </w:r>
    </w:p>
    <w:p w14:paraId="07B50356" w14:textId="600920E9" w:rsidR="005F0209" w:rsidRDefault="00CE6B16" w:rsidP="005F0209">
      <w:pPr>
        <w:pStyle w:val="Default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Realizovaná</w:t>
      </w:r>
      <w:r w:rsidR="005F0209" w:rsidRPr="005F0209">
        <w:rPr>
          <w:rFonts w:asciiTheme="minorHAnsi" w:hAnsiTheme="minorHAnsi" w:cstheme="minorHAnsi"/>
        </w:rPr>
        <w:t xml:space="preserve"> integrovaná stezka (pro pěší a cyklisty) má délku 583,0 m a její součástí jsou 2 lávky (</w:t>
      </w:r>
      <w:proofErr w:type="spellStart"/>
      <w:r w:rsidR="005F0209" w:rsidRPr="005F0209">
        <w:rPr>
          <w:rFonts w:asciiTheme="minorHAnsi" w:hAnsiTheme="minorHAnsi" w:cstheme="minorHAnsi"/>
        </w:rPr>
        <w:t>Všezvěd</w:t>
      </w:r>
      <w:proofErr w:type="spellEnd"/>
      <w:r w:rsidR="005F0209" w:rsidRPr="005F0209">
        <w:rPr>
          <w:rFonts w:asciiTheme="minorHAnsi" w:hAnsiTheme="minorHAnsi" w:cstheme="minorHAnsi"/>
        </w:rPr>
        <w:t xml:space="preserve"> a </w:t>
      </w:r>
      <w:proofErr w:type="spellStart"/>
      <w:r w:rsidR="005F0209" w:rsidRPr="005F0209">
        <w:rPr>
          <w:rFonts w:asciiTheme="minorHAnsi" w:hAnsiTheme="minorHAnsi" w:cstheme="minorHAnsi"/>
        </w:rPr>
        <w:t>Všudybud</w:t>
      </w:r>
      <w:proofErr w:type="spellEnd"/>
      <w:r w:rsidR="005F0209" w:rsidRPr="005F0209">
        <w:rPr>
          <w:rFonts w:asciiTheme="minorHAnsi" w:hAnsiTheme="minorHAnsi" w:cstheme="minorHAnsi"/>
        </w:rPr>
        <w:t xml:space="preserve">). Lávka </w:t>
      </w:r>
      <w:proofErr w:type="spellStart"/>
      <w:r w:rsidR="005F0209" w:rsidRPr="005F0209">
        <w:rPr>
          <w:rFonts w:asciiTheme="minorHAnsi" w:hAnsiTheme="minorHAnsi" w:cstheme="minorHAnsi"/>
        </w:rPr>
        <w:t>Všezvěd</w:t>
      </w:r>
      <w:proofErr w:type="spellEnd"/>
      <w:r w:rsidR="005F0209" w:rsidRPr="005F0209">
        <w:rPr>
          <w:rFonts w:asciiTheme="minorHAnsi" w:hAnsiTheme="minorHAnsi" w:cstheme="minorHAnsi"/>
        </w:rPr>
        <w:t xml:space="preserve"> (křížení s řekou Olšava) je dlouhá 68,0 m a lávka </w:t>
      </w:r>
      <w:proofErr w:type="spellStart"/>
      <w:r w:rsidR="005F0209" w:rsidRPr="005F0209">
        <w:rPr>
          <w:rFonts w:asciiTheme="minorHAnsi" w:hAnsiTheme="minorHAnsi" w:cstheme="minorHAnsi"/>
        </w:rPr>
        <w:t>Všudybud</w:t>
      </w:r>
      <w:proofErr w:type="spellEnd"/>
      <w:r w:rsidR="005F0209" w:rsidRPr="005F0209">
        <w:rPr>
          <w:rFonts w:asciiTheme="minorHAnsi" w:hAnsiTheme="minorHAnsi" w:cstheme="minorHAnsi"/>
        </w:rPr>
        <w:t xml:space="preserve"> (křížení s komunikací I/50) je dlouhá 68,6 m. Čistá průjezdná šířka integrované stezky je 3,0 m. Na lávkách je průjezdná šířka rozšířená na 3,5 m. Povrch stezky je z asfaltobetonu. Lávky tvoří zavěšená ocelová konstrukce s dolní ocelovou mostovkou a ocelovým pylonem</w:t>
      </w:r>
      <w:r w:rsidR="00D83DA3">
        <w:rPr>
          <w:rFonts w:asciiTheme="minorHAnsi" w:hAnsiTheme="minorHAnsi" w:cstheme="minorHAnsi"/>
        </w:rPr>
        <w:t xml:space="preserve"> připomínajícím vstupní bránu</w:t>
      </w:r>
      <w:r w:rsidR="005F0209" w:rsidRPr="005F0209">
        <w:rPr>
          <w:rFonts w:asciiTheme="minorHAnsi" w:hAnsiTheme="minorHAnsi" w:cstheme="minorHAnsi"/>
        </w:rPr>
        <w:t>.</w:t>
      </w:r>
    </w:p>
    <w:p w14:paraId="0575E765" w14:textId="77777777" w:rsidR="005F0209" w:rsidRPr="005F0209" w:rsidRDefault="005F0209" w:rsidP="005F0209">
      <w:pPr>
        <w:pStyle w:val="Default"/>
        <w:ind w:left="360"/>
        <w:jc w:val="both"/>
        <w:rPr>
          <w:rFonts w:asciiTheme="minorHAnsi" w:hAnsiTheme="minorHAnsi" w:cstheme="minorHAnsi"/>
        </w:rPr>
      </w:pPr>
    </w:p>
    <w:p w14:paraId="09C2FC75" w14:textId="77777777" w:rsidR="00EC0BAC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Údaje o předkladateli - subjekt, kontakt, telefon, e-mail, IČ</w:t>
      </w:r>
    </w:p>
    <w:p w14:paraId="1233AF75" w14:textId="77777777" w:rsidR="00EC0BAC" w:rsidRPr="00DE1DE2" w:rsidRDefault="00EC0BAC" w:rsidP="00EC0BAC">
      <w:pPr>
        <w:pStyle w:val="Default"/>
        <w:ind w:left="360"/>
        <w:rPr>
          <w:rFonts w:asciiTheme="minorHAnsi" w:hAnsiTheme="minorHAnsi" w:cstheme="minorHAnsi"/>
          <w:sz w:val="10"/>
          <w:szCs w:val="10"/>
        </w:rPr>
      </w:pPr>
    </w:p>
    <w:p w14:paraId="3E2325F7" w14:textId="77777777" w:rsidR="00EC0BAC" w:rsidRDefault="00EC0BAC" w:rsidP="00EC0BAC">
      <w:pPr>
        <w:pStyle w:val="Default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Město Uherský Brod, Masarykovo nám. 100, 688 01 Uherský Brod, IČ 0029163</w:t>
      </w:r>
    </w:p>
    <w:p w14:paraId="791A938E" w14:textId="61E7051C" w:rsidR="00EC0BAC" w:rsidRDefault="00427195" w:rsidP="00EC0BAC">
      <w:pPr>
        <w:pStyle w:val="Default"/>
        <w:ind w:left="360"/>
        <w:rPr>
          <w:rFonts w:asciiTheme="minorHAnsi" w:hAnsiTheme="minorHAnsi" w:cstheme="minorHAnsi"/>
        </w:rPr>
      </w:pPr>
      <w:hyperlink r:id="rId7" w:history="1">
        <w:r w:rsidR="00EC0BAC" w:rsidRPr="00691287">
          <w:rPr>
            <w:rStyle w:val="Hypertextovodkaz"/>
            <w:rFonts w:asciiTheme="minorHAnsi" w:hAnsiTheme="minorHAnsi" w:cstheme="minorHAnsi"/>
          </w:rPr>
          <w:t>dotace@ub.cz</w:t>
        </w:r>
      </w:hyperlink>
      <w:r w:rsidR="00EC0BAC">
        <w:rPr>
          <w:rFonts w:asciiTheme="minorHAnsi" w:hAnsiTheme="minorHAnsi" w:cstheme="minorHAnsi"/>
        </w:rPr>
        <w:t>, 572 805 241, 777 637 169 (Ing. Kateřina Guryčová)</w:t>
      </w:r>
    </w:p>
    <w:p w14:paraId="5D81F6F1" w14:textId="1212DFA6" w:rsidR="00F66867" w:rsidRPr="00041C0E" w:rsidRDefault="00EC0BAC" w:rsidP="00EC0BAC">
      <w:pPr>
        <w:pStyle w:val="Default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Starosta Ing. Ferdinand Kubáník</w:t>
      </w:r>
      <w:r w:rsidR="00F10DB4">
        <w:rPr>
          <w:rFonts w:asciiTheme="minorHAnsi" w:hAnsiTheme="minorHAnsi" w:cstheme="minorHAnsi"/>
        </w:rPr>
        <w:br/>
      </w:r>
    </w:p>
    <w:p w14:paraId="5DEB5D68" w14:textId="77777777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 xml:space="preserve">Údaje o soutěžním řešení: </w:t>
      </w:r>
    </w:p>
    <w:p w14:paraId="2B64BB1D" w14:textId="612FA15B" w:rsidR="00EC0BAC" w:rsidRDefault="00EC0BAC" w:rsidP="00283FE3">
      <w:pPr>
        <w:pStyle w:val="Default"/>
        <w:numPr>
          <w:ilvl w:val="2"/>
          <w:numId w:val="4"/>
        </w:numPr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Název</w:t>
      </w:r>
    </w:p>
    <w:p w14:paraId="7B4E0954" w14:textId="77777777" w:rsidR="00EC0BAC" w:rsidRPr="005F0209" w:rsidRDefault="00EC0BAC" w:rsidP="00EC0BAC">
      <w:pPr>
        <w:pStyle w:val="Default"/>
        <w:ind w:left="720" w:firstLine="360"/>
        <w:jc w:val="both"/>
        <w:rPr>
          <w:rFonts w:asciiTheme="minorHAnsi" w:hAnsiTheme="minorHAnsi" w:cstheme="minorHAnsi"/>
          <w:b/>
        </w:rPr>
      </w:pPr>
      <w:r w:rsidRPr="005F0209">
        <w:rPr>
          <w:rFonts w:asciiTheme="minorHAnsi" w:hAnsiTheme="minorHAnsi" w:cstheme="minorHAnsi"/>
          <w:b/>
        </w:rPr>
        <w:t>Komunikační propojení Slováckého náměstí se sídlištěm Olšava</w:t>
      </w:r>
    </w:p>
    <w:p w14:paraId="296B412A" w14:textId="526B0068" w:rsidR="00F66867" w:rsidRPr="00041C0E" w:rsidRDefault="00F66867" w:rsidP="00EC0BAC">
      <w:pPr>
        <w:pStyle w:val="Default"/>
        <w:ind w:left="108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 xml:space="preserve"> </w:t>
      </w:r>
    </w:p>
    <w:p w14:paraId="12AFAEB2" w14:textId="3DB1A4CD" w:rsidR="00F66867" w:rsidRDefault="00EC0BAC" w:rsidP="00283FE3">
      <w:pPr>
        <w:pStyle w:val="Default"/>
        <w:numPr>
          <w:ilvl w:val="2"/>
          <w:numId w:val="4"/>
        </w:numPr>
        <w:ind w:left="108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L</w:t>
      </w:r>
      <w:r w:rsidR="00F66867" w:rsidRPr="00041C0E">
        <w:rPr>
          <w:rFonts w:asciiTheme="minorHAnsi" w:hAnsiTheme="minorHAnsi" w:cstheme="minorHAnsi"/>
        </w:rPr>
        <w:t>okalizace</w:t>
      </w:r>
    </w:p>
    <w:p w14:paraId="6B1F2D35" w14:textId="77777777" w:rsidR="006B36AF" w:rsidRPr="006B36AF" w:rsidRDefault="006B36AF" w:rsidP="00EC0BAC">
      <w:pPr>
        <w:pStyle w:val="Default"/>
        <w:ind w:left="1080"/>
        <w:rPr>
          <w:rFonts w:asciiTheme="minorHAnsi" w:hAnsiTheme="minorHAnsi" w:cstheme="minorHAnsi"/>
          <w:sz w:val="10"/>
          <w:szCs w:val="10"/>
        </w:rPr>
      </w:pPr>
    </w:p>
    <w:p w14:paraId="38F5778D" w14:textId="1B8C07B1" w:rsidR="00EC0BAC" w:rsidRDefault="00EC0BAC" w:rsidP="00EC0BAC">
      <w:pPr>
        <w:pStyle w:val="Default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k. </w:t>
      </w:r>
      <w:proofErr w:type="spellStart"/>
      <w:r>
        <w:rPr>
          <w:rFonts w:asciiTheme="minorHAnsi" w:hAnsiTheme="minorHAnsi" w:cstheme="minorHAnsi"/>
        </w:rPr>
        <w:t>ú.</w:t>
      </w:r>
      <w:proofErr w:type="spellEnd"/>
      <w:r>
        <w:rPr>
          <w:rFonts w:asciiTheme="minorHAnsi" w:hAnsiTheme="minorHAnsi" w:cstheme="minorHAnsi"/>
        </w:rPr>
        <w:t xml:space="preserve"> Uherský Brod, trasa mezi Slováckým náměstím a sídlištěm Olšava</w:t>
      </w:r>
    </w:p>
    <w:p w14:paraId="48E1AFF3" w14:textId="7E45A735" w:rsidR="00EC0BAC" w:rsidRDefault="00427195" w:rsidP="00EC0BAC">
      <w:pPr>
        <w:pStyle w:val="Default"/>
        <w:ind w:left="1080"/>
        <w:rPr>
          <w:rFonts w:asciiTheme="minorHAnsi" w:hAnsiTheme="minorHAnsi" w:cstheme="minorHAnsi"/>
        </w:rPr>
      </w:pPr>
      <w:hyperlink r:id="rId8" w:history="1">
        <w:r w:rsidR="00EC0BAC" w:rsidRPr="00691287">
          <w:rPr>
            <w:rStyle w:val="Hypertextovodkaz"/>
            <w:rFonts w:asciiTheme="minorHAnsi" w:hAnsiTheme="minorHAnsi" w:cstheme="minorHAnsi"/>
          </w:rPr>
          <w:t>https://mapy.cz/s/hosacejucu</w:t>
        </w:r>
      </w:hyperlink>
    </w:p>
    <w:p w14:paraId="11AA4353" w14:textId="2ACC8AA7" w:rsidR="00EC0BAC" w:rsidRDefault="00427195" w:rsidP="00EC0BAC">
      <w:pPr>
        <w:pStyle w:val="Default"/>
        <w:ind w:left="1080"/>
        <w:rPr>
          <w:rFonts w:asciiTheme="minorHAnsi" w:hAnsiTheme="minorHAnsi" w:cstheme="minorHAnsi"/>
        </w:rPr>
      </w:pPr>
      <w:hyperlink r:id="rId9" w:history="1">
        <w:r w:rsidR="00EC0BAC" w:rsidRPr="00691287">
          <w:rPr>
            <w:rStyle w:val="Hypertextovodkaz"/>
            <w:rFonts w:asciiTheme="minorHAnsi" w:hAnsiTheme="minorHAnsi" w:cstheme="minorHAnsi"/>
          </w:rPr>
          <w:t>https://mapy.cz/s/ponehodotu</w:t>
        </w:r>
      </w:hyperlink>
    </w:p>
    <w:p w14:paraId="0E8B8CFD" w14:textId="77777777" w:rsidR="00EC0BAC" w:rsidRPr="00041C0E" w:rsidRDefault="00EC0BAC" w:rsidP="00EC0BAC">
      <w:pPr>
        <w:pStyle w:val="Default"/>
        <w:ind w:left="1080"/>
        <w:rPr>
          <w:rFonts w:asciiTheme="minorHAnsi" w:hAnsiTheme="minorHAnsi" w:cstheme="minorHAnsi"/>
        </w:rPr>
      </w:pPr>
    </w:p>
    <w:p w14:paraId="78CD8C3F" w14:textId="77777777" w:rsidR="00F66867" w:rsidRDefault="00F66867" w:rsidP="00283FE3">
      <w:pPr>
        <w:pStyle w:val="Default"/>
        <w:numPr>
          <w:ilvl w:val="2"/>
          <w:numId w:val="4"/>
        </w:numPr>
        <w:ind w:left="108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autorský tým (jména autorů, kontaktní adresa, telefon, e-mail na jejich zástupce).</w:t>
      </w:r>
    </w:p>
    <w:p w14:paraId="261638C6" w14:textId="77777777" w:rsidR="006B36AF" w:rsidRPr="006B36AF" w:rsidRDefault="006B36AF" w:rsidP="006B36AF">
      <w:pPr>
        <w:pStyle w:val="Default"/>
        <w:ind w:left="1080"/>
        <w:jc w:val="both"/>
        <w:rPr>
          <w:rFonts w:asciiTheme="minorHAnsi" w:hAnsiTheme="minorHAnsi" w:cstheme="minorHAnsi"/>
          <w:sz w:val="10"/>
          <w:szCs w:val="10"/>
        </w:rPr>
      </w:pPr>
    </w:p>
    <w:p w14:paraId="407792A3" w14:textId="3D2391EC" w:rsidR="006B36AF" w:rsidRDefault="006B36AF" w:rsidP="006B36AF">
      <w:pPr>
        <w:pStyle w:val="Default"/>
        <w:ind w:left="1080"/>
        <w:jc w:val="both"/>
        <w:rPr>
          <w:rFonts w:asciiTheme="minorHAnsi" w:hAnsiTheme="minorHAnsi" w:cstheme="minorHAnsi"/>
        </w:rPr>
      </w:pPr>
      <w:r w:rsidRPr="006B36AF">
        <w:rPr>
          <w:rFonts w:asciiTheme="minorHAnsi" w:hAnsiTheme="minorHAnsi" w:cstheme="minorHAnsi"/>
        </w:rPr>
        <w:t>Autor</w:t>
      </w:r>
      <w:r>
        <w:rPr>
          <w:rFonts w:asciiTheme="minorHAnsi" w:hAnsiTheme="minorHAnsi" w:cstheme="minorHAnsi"/>
        </w:rPr>
        <w:t xml:space="preserve"> návrhu stavby:</w:t>
      </w:r>
      <w:r w:rsidRPr="006B36AF">
        <w:rPr>
          <w:rFonts w:asciiTheme="minorHAnsi" w:hAnsiTheme="minorHAnsi" w:cstheme="minorHAnsi"/>
        </w:rPr>
        <w:t xml:space="preserve"> Ing. arch. Zbyněk Ryška</w:t>
      </w:r>
      <w:r>
        <w:rPr>
          <w:rFonts w:asciiTheme="minorHAnsi" w:hAnsiTheme="minorHAnsi" w:cstheme="minorHAnsi"/>
        </w:rPr>
        <w:t xml:space="preserve"> (736 605 107, zbynek@refuel.cz)</w:t>
      </w:r>
      <w:r w:rsidRPr="006B36AF">
        <w:rPr>
          <w:rFonts w:asciiTheme="minorHAnsi" w:hAnsiTheme="minorHAnsi" w:cstheme="minorHAnsi"/>
        </w:rPr>
        <w:t>, Ing. arch Jan Skoupý (</w:t>
      </w:r>
      <w:proofErr w:type="spellStart"/>
      <w:r w:rsidRPr="006B36AF">
        <w:rPr>
          <w:rFonts w:asciiTheme="minorHAnsi" w:hAnsiTheme="minorHAnsi" w:cstheme="minorHAnsi"/>
        </w:rPr>
        <w:t>Refuel</w:t>
      </w:r>
      <w:proofErr w:type="spellEnd"/>
      <w:r w:rsidRPr="006B36AF">
        <w:rPr>
          <w:rFonts w:asciiTheme="minorHAnsi" w:hAnsiTheme="minorHAnsi" w:cstheme="minorHAnsi"/>
        </w:rPr>
        <w:t>, s. r. o.</w:t>
      </w:r>
      <w:r>
        <w:rPr>
          <w:rFonts w:asciiTheme="minorHAnsi" w:hAnsiTheme="minorHAnsi" w:cstheme="minorHAnsi"/>
        </w:rPr>
        <w:t>, Botanická 16, 602 00 Brno)</w:t>
      </w:r>
      <w:r w:rsidRPr="006B36AF">
        <w:rPr>
          <w:rFonts w:asciiTheme="minorHAnsi" w:hAnsiTheme="minorHAnsi" w:cstheme="minorHAnsi"/>
        </w:rPr>
        <w:t xml:space="preserve"> a projekčn</w:t>
      </w:r>
      <w:r>
        <w:rPr>
          <w:rFonts w:asciiTheme="minorHAnsi" w:hAnsiTheme="minorHAnsi" w:cstheme="minorHAnsi"/>
        </w:rPr>
        <w:t>í kancelář PIS PECHAL, s. r. o.</w:t>
      </w:r>
    </w:p>
    <w:p w14:paraId="0E6DDE05" w14:textId="506719CE" w:rsidR="006B36AF" w:rsidRDefault="006B36AF" w:rsidP="006B36AF">
      <w:pPr>
        <w:pStyle w:val="Default"/>
        <w:ind w:left="1080"/>
        <w:jc w:val="both"/>
        <w:rPr>
          <w:rFonts w:asciiTheme="minorHAnsi" w:hAnsiTheme="minorHAnsi" w:cstheme="minorHAnsi"/>
        </w:rPr>
      </w:pPr>
      <w:r w:rsidRPr="006B36AF">
        <w:rPr>
          <w:rFonts w:asciiTheme="minorHAnsi" w:hAnsiTheme="minorHAnsi" w:cstheme="minorHAnsi"/>
        </w:rPr>
        <w:lastRenderedPageBreak/>
        <w:t>Projektovou dokumentaci zpracovala projekční kancelář PIS PECHAL, s. r. o.</w:t>
      </w:r>
      <w:r>
        <w:rPr>
          <w:rFonts w:asciiTheme="minorHAnsi" w:hAnsiTheme="minorHAnsi" w:cstheme="minorHAnsi"/>
        </w:rPr>
        <w:t xml:space="preserve">, Lidická 1876/42, 602 00 Brno, </w:t>
      </w:r>
      <w:r w:rsidRPr="006B36AF">
        <w:rPr>
          <w:rFonts w:asciiTheme="minorHAnsi" w:hAnsiTheme="minorHAnsi" w:cstheme="minorHAnsi"/>
        </w:rPr>
        <w:t>Ing. Vojtěch Konečný</w:t>
      </w:r>
      <w:r>
        <w:rPr>
          <w:rFonts w:asciiTheme="minorHAnsi" w:hAnsiTheme="minorHAnsi" w:cstheme="minorHAnsi"/>
        </w:rPr>
        <w:t xml:space="preserve"> a </w:t>
      </w:r>
      <w:r w:rsidRPr="006B36AF">
        <w:rPr>
          <w:rFonts w:asciiTheme="minorHAnsi" w:hAnsiTheme="minorHAnsi" w:cstheme="minorHAnsi"/>
        </w:rPr>
        <w:t>Ing. Jan Krakovič</w:t>
      </w:r>
      <w:r w:rsidR="000C6BF2">
        <w:rPr>
          <w:rFonts w:asciiTheme="minorHAnsi" w:hAnsiTheme="minorHAnsi" w:cstheme="minorHAnsi"/>
        </w:rPr>
        <w:t xml:space="preserve"> (513 030 460, pis@pechal.cz)</w:t>
      </w:r>
    </w:p>
    <w:p w14:paraId="4FF5389B" w14:textId="77777777" w:rsidR="006B36AF" w:rsidRPr="00DE1DE2" w:rsidRDefault="006B36AF" w:rsidP="006B36AF">
      <w:pPr>
        <w:pStyle w:val="Default"/>
        <w:ind w:left="1080"/>
        <w:jc w:val="both"/>
        <w:rPr>
          <w:rFonts w:asciiTheme="minorHAnsi" w:hAnsiTheme="minorHAnsi" w:cstheme="minorHAnsi"/>
          <w:sz w:val="10"/>
          <w:szCs w:val="10"/>
        </w:rPr>
      </w:pPr>
    </w:p>
    <w:p w14:paraId="2BE4F991" w14:textId="77777777" w:rsidR="0062129C" w:rsidRDefault="00F66867" w:rsidP="00283FE3">
      <w:pPr>
        <w:pStyle w:val="Default"/>
        <w:numPr>
          <w:ilvl w:val="2"/>
          <w:numId w:val="4"/>
        </w:numPr>
        <w:ind w:left="108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 xml:space="preserve">jak byl vybrán zpracovatel projektu (oslovení, veřejná soutěž, …. </w:t>
      </w:r>
      <w:proofErr w:type="gramStart"/>
      <w:r w:rsidRPr="00041C0E">
        <w:rPr>
          <w:rFonts w:asciiTheme="minorHAnsi" w:hAnsiTheme="minorHAnsi" w:cstheme="minorHAnsi"/>
        </w:rPr>
        <w:t>jinak</w:t>
      </w:r>
      <w:proofErr w:type="gramEnd"/>
      <w:r w:rsidRPr="00041C0E">
        <w:rPr>
          <w:rFonts w:asciiTheme="minorHAnsi" w:hAnsiTheme="minorHAnsi" w:cstheme="minorHAnsi"/>
        </w:rPr>
        <w:t>)</w:t>
      </w:r>
    </w:p>
    <w:p w14:paraId="13564F3E" w14:textId="77777777" w:rsidR="0062129C" w:rsidRPr="0062129C" w:rsidRDefault="0062129C" w:rsidP="0062129C">
      <w:pPr>
        <w:pStyle w:val="Default"/>
        <w:ind w:left="1080"/>
        <w:rPr>
          <w:rFonts w:asciiTheme="minorHAnsi" w:hAnsiTheme="minorHAnsi" w:cstheme="minorHAnsi"/>
          <w:sz w:val="10"/>
          <w:szCs w:val="10"/>
        </w:rPr>
      </w:pPr>
    </w:p>
    <w:p w14:paraId="008A45D3" w14:textId="6140F079" w:rsidR="00F66867" w:rsidRPr="00041C0E" w:rsidRDefault="0062129C" w:rsidP="0062129C">
      <w:pPr>
        <w:pStyle w:val="Default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veřejná soutěž (zakázka malého rozsahu) v roce 2015</w:t>
      </w:r>
      <w:r w:rsidR="00F10DB4">
        <w:rPr>
          <w:rFonts w:asciiTheme="minorHAnsi" w:hAnsiTheme="minorHAnsi" w:cstheme="minorHAnsi"/>
        </w:rPr>
        <w:br/>
      </w:r>
    </w:p>
    <w:p w14:paraId="53A569B9" w14:textId="77777777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 xml:space="preserve">Údaje o realizaci: </w:t>
      </w:r>
    </w:p>
    <w:p w14:paraId="0BD5AF49" w14:textId="30B0C137" w:rsidR="00F66867" w:rsidRDefault="00F66867" w:rsidP="00283FE3">
      <w:pPr>
        <w:pStyle w:val="Default"/>
        <w:numPr>
          <w:ilvl w:val="2"/>
          <w:numId w:val="3"/>
        </w:numPr>
        <w:ind w:left="108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 xml:space="preserve">gen. </w:t>
      </w:r>
      <w:proofErr w:type="gramStart"/>
      <w:r w:rsidR="00FE09F3">
        <w:rPr>
          <w:rFonts w:asciiTheme="minorHAnsi" w:hAnsiTheme="minorHAnsi" w:cstheme="minorHAnsi"/>
        </w:rPr>
        <w:t>d</w:t>
      </w:r>
      <w:r w:rsidRPr="00041C0E">
        <w:rPr>
          <w:rFonts w:asciiTheme="minorHAnsi" w:hAnsiTheme="minorHAnsi" w:cstheme="minorHAnsi"/>
        </w:rPr>
        <w:t>odavatel</w:t>
      </w:r>
      <w:proofErr w:type="gramEnd"/>
    </w:p>
    <w:p w14:paraId="32E0198F" w14:textId="77777777" w:rsidR="00FE09F3" w:rsidRPr="00FE09F3" w:rsidRDefault="00FE09F3" w:rsidP="00FE09F3">
      <w:pPr>
        <w:pStyle w:val="Default"/>
        <w:ind w:left="1080"/>
        <w:rPr>
          <w:rFonts w:asciiTheme="minorHAnsi" w:hAnsiTheme="minorHAnsi" w:cstheme="minorHAnsi"/>
          <w:sz w:val="10"/>
          <w:szCs w:val="10"/>
        </w:rPr>
      </w:pPr>
    </w:p>
    <w:p w14:paraId="69D41F97" w14:textId="3728A699" w:rsidR="00FE09F3" w:rsidRPr="00FE09F3" w:rsidRDefault="00FE09F3" w:rsidP="00FE09F3">
      <w:pPr>
        <w:pStyle w:val="Default"/>
        <w:ind w:left="1080"/>
        <w:jc w:val="both"/>
        <w:rPr>
          <w:rFonts w:asciiTheme="minorHAnsi" w:hAnsiTheme="minorHAnsi" w:cstheme="minorHAnsi"/>
        </w:rPr>
      </w:pPr>
      <w:r w:rsidRPr="00FE09F3">
        <w:rPr>
          <w:rFonts w:asciiTheme="minorHAnsi" w:hAnsiTheme="minorHAnsi" w:cstheme="minorHAnsi"/>
        </w:rPr>
        <w:t>EUROVIA CS, a. s., závod Zlín</w:t>
      </w:r>
      <w:r>
        <w:rPr>
          <w:rFonts w:asciiTheme="minorHAnsi" w:hAnsiTheme="minorHAnsi" w:cstheme="minorHAnsi"/>
        </w:rPr>
        <w:t xml:space="preserve">, </w:t>
      </w:r>
      <w:r w:rsidRPr="00FE09F3">
        <w:rPr>
          <w:rFonts w:asciiTheme="minorHAnsi" w:hAnsiTheme="minorHAnsi" w:cstheme="minorHAnsi"/>
        </w:rPr>
        <w:t>Stavbyvedoucí:</w:t>
      </w:r>
      <w:r>
        <w:rPr>
          <w:rFonts w:asciiTheme="minorHAnsi" w:hAnsiTheme="minorHAnsi" w:cstheme="minorHAnsi"/>
        </w:rPr>
        <w:t xml:space="preserve"> I</w:t>
      </w:r>
      <w:r w:rsidRPr="00FE09F3">
        <w:rPr>
          <w:rFonts w:asciiTheme="minorHAnsi" w:hAnsiTheme="minorHAnsi" w:cstheme="minorHAnsi"/>
        </w:rPr>
        <w:t>ng. Ondřej Kolaja,</w:t>
      </w:r>
      <w:r>
        <w:rPr>
          <w:rFonts w:asciiTheme="minorHAnsi" w:hAnsiTheme="minorHAnsi" w:cstheme="minorHAnsi"/>
        </w:rPr>
        <w:t xml:space="preserve"> </w:t>
      </w:r>
      <w:r w:rsidRPr="00FE09F3">
        <w:rPr>
          <w:rFonts w:asciiTheme="minorHAnsi" w:hAnsiTheme="minorHAnsi" w:cstheme="minorHAnsi"/>
        </w:rPr>
        <w:t xml:space="preserve">Bohdan </w:t>
      </w:r>
      <w:proofErr w:type="spellStart"/>
      <w:r w:rsidRPr="00FE09F3">
        <w:rPr>
          <w:rFonts w:asciiTheme="minorHAnsi" w:hAnsiTheme="minorHAnsi" w:cstheme="minorHAnsi"/>
        </w:rPr>
        <w:t>Petura</w:t>
      </w:r>
      <w:proofErr w:type="spellEnd"/>
      <w:r w:rsidRPr="00FE09F3">
        <w:rPr>
          <w:rFonts w:asciiTheme="minorHAnsi" w:hAnsiTheme="minorHAnsi" w:cstheme="minorHAnsi"/>
        </w:rPr>
        <w:t>,</w:t>
      </w:r>
    </w:p>
    <w:p w14:paraId="638FF83E" w14:textId="09CCCA96" w:rsidR="00FE09F3" w:rsidRDefault="00FE09F3" w:rsidP="00FE09F3">
      <w:pPr>
        <w:pStyle w:val="Default"/>
        <w:ind w:left="1080"/>
        <w:jc w:val="both"/>
        <w:rPr>
          <w:rFonts w:asciiTheme="minorHAnsi" w:hAnsiTheme="minorHAnsi" w:cstheme="minorHAnsi"/>
        </w:rPr>
      </w:pPr>
      <w:r w:rsidRPr="00FE09F3">
        <w:rPr>
          <w:rFonts w:asciiTheme="minorHAnsi" w:hAnsiTheme="minorHAnsi" w:cstheme="minorHAnsi"/>
        </w:rPr>
        <w:t>Michal Večeřa</w:t>
      </w:r>
    </w:p>
    <w:p w14:paraId="2D8C065D" w14:textId="77777777" w:rsidR="00FE09F3" w:rsidRPr="00041C0E" w:rsidRDefault="00FE09F3" w:rsidP="00FE09F3">
      <w:pPr>
        <w:pStyle w:val="Default"/>
        <w:ind w:left="1080"/>
        <w:jc w:val="both"/>
        <w:rPr>
          <w:rFonts w:asciiTheme="minorHAnsi" w:hAnsiTheme="minorHAnsi" w:cstheme="minorHAnsi"/>
        </w:rPr>
      </w:pPr>
    </w:p>
    <w:p w14:paraId="1FB230A1" w14:textId="77777777" w:rsidR="00F66867" w:rsidRDefault="00F66867" w:rsidP="00283FE3">
      <w:pPr>
        <w:pStyle w:val="Default"/>
        <w:numPr>
          <w:ilvl w:val="2"/>
          <w:numId w:val="3"/>
        </w:numPr>
        <w:ind w:left="108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 xml:space="preserve">termín realizace (kolaudace nebo uvedení do provozu) </w:t>
      </w:r>
    </w:p>
    <w:p w14:paraId="0AE491CC" w14:textId="77777777" w:rsidR="00FE09F3" w:rsidRPr="00FE09F3" w:rsidRDefault="00FE09F3" w:rsidP="00FE09F3">
      <w:pPr>
        <w:pStyle w:val="Default"/>
        <w:ind w:left="1080"/>
        <w:rPr>
          <w:rFonts w:cs="Arial"/>
          <w:sz w:val="10"/>
          <w:szCs w:val="10"/>
        </w:rPr>
      </w:pPr>
    </w:p>
    <w:p w14:paraId="6FDCDBE6" w14:textId="5672FD66" w:rsidR="00FE09F3" w:rsidRDefault="00FE09F3" w:rsidP="00FE09F3">
      <w:pPr>
        <w:pStyle w:val="Default"/>
        <w:ind w:left="1080"/>
        <w:jc w:val="both"/>
        <w:rPr>
          <w:rFonts w:asciiTheme="minorHAnsi" w:hAnsiTheme="minorHAnsi" w:cstheme="minorHAnsi"/>
        </w:rPr>
      </w:pPr>
      <w:r w:rsidRPr="00FE09F3">
        <w:rPr>
          <w:rFonts w:asciiTheme="minorHAnsi" w:hAnsiTheme="minorHAnsi" w:cstheme="minorHAnsi"/>
        </w:rPr>
        <w:t xml:space="preserve">Realizace rozdělena na </w:t>
      </w:r>
      <w:r w:rsidR="00780E9C">
        <w:rPr>
          <w:rFonts w:asciiTheme="minorHAnsi" w:hAnsiTheme="minorHAnsi" w:cstheme="minorHAnsi"/>
        </w:rPr>
        <w:t>dvě samostatné</w:t>
      </w:r>
      <w:r w:rsidRPr="00FE09F3">
        <w:rPr>
          <w:rFonts w:asciiTheme="minorHAnsi" w:hAnsiTheme="minorHAnsi" w:cstheme="minorHAnsi"/>
        </w:rPr>
        <w:t xml:space="preserve"> funkční etapy</w:t>
      </w:r>
      <w:r>
        <w:rPr>
          <w:rFonts w:asciiTheme="minorHAnsi" w:hAnsiTheme="minorHAnsi" w:cstheme="minorHAnsi"/>
        </w:rPr>
        <w:t>.</w:t>
      </w:r>
    </w:p>
    <w:p w14:paraId="7C99AF0D" w14:textId="6C82123C" w:rsidR="00FE09F3" w:rsidRDefault="00FE09F3" w:rsidP="004D48FB">
      <w:pPr>
        <w:pStyle w:val="Default"/>
        <w:numPr>
          <w:ilvl w:val="3"/>
          <w:numId w:val="3"/>
        </w:numPr>
        <w:ind w:left="1418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Etapa: realizace 10/2017 </w:t>
      </w:r>
      <w:r w:rsidR="004D48FB">
        <w:rPr>
          <w:rFonts w:asciiTheme="minorHAnsi" w:hAnsiTheme="minorHAnsi" w:cstheme="minorHAnsi"/>
        </w:rPr>
        <w:t>−</w:t>
      </w:r>
      <w:r>
        <w:rPr>
          <w:rFonts w:asciiTheme="minorHAnsi" w:hAnsiTheme="minorHAnsi" w:cstheme="minorHAnsi"/>
        </w:rPr>
        <w:t xml:space="preserve"> 08/2018, </w:t>
      </w:r>
      <w:r w:rsidRPr="00FE09F3">
        <w:rPr>
          <w:rFonts w:asciiTheme="minorHAnsi" w:hAnsiTheme="minorHAnsi" w:cstheme="minorHAnsi"/>
        </w:rPr>
        <w:t>Kolaudační souhlas s užíváním stavby 2 x (komunikační propojení + veřejné osvětlení)</w:t>
      </w:r>
      <w:r>
        <w:rPr>
          <w:rFonts w:asciiTheme="minorHAnsi" w:hAnsiTheme="minorHAnsi" w:cstheme="minorHAnsi"/>
        </w:rPr>
        <w:t xml:space="preserve"> 10/2018</w:t>
      </w:r>
    </w:p>
    <w:p w14:paraId="1DDF643F" w14:textId="21FCA9E3" w:rsidR="00FE09F3" w:rsidRDefault="00FE09F3" w:rsidP="004D48FB">
      <w:pPr>
        <w:pStyle w:val="Default"/>
        <w:numPr>
          <w:ilvl w:val="3"/>
          <w:numId w:val="3"/>
        </w:numPr>
        <w:ind w:left="1418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Etapa: realizace </w:t>
      </w:r>
      <w:r w:rsidR="004D48FB">
        <w:rPr>
          <w:rFonts w:asciiTheme="minorHAnsi" w:hAnsiTheme="minorHAnsi" w:cstheme="minorHAnsi"/>
        </w:rPr>
        <w:t>09/2018 –</w:t>
      </w:r>
      <w:r w:rsidR="009C4848">
        <w:rPr>
          <w:rFonts w:asciiTheme="minorHAnsi" w:hAnsiTheme="minorHAnsi" w:cstheme="minorHAnsi"/>
        </w:rPr>
        <w:t xml:space="preserve"> 06</w:t>
      </w:r>
      <w:r w:rsidR="004D48FB">
        <w:rPr>
          <w:rFonts w:asciiTheme="minorHAnsi" w:hAnsiTheme="minorHAnsi" w:cstheme="minorHAnsi"/>
        </w:rPr>
        <w:t xml:space="preserve">/2019, </w:t>
      </w:r>
      <w:r w:rsidR="004D48FB" w:rsidRPr="004D48FB">
        <w:rPr>
          <w:rFonts w:asciiTheme="minorHAnsi" w:hAnsiTheme="minorHAnsi" w:cstheme="minorHAnsi"/>
        </w:rPr>
        <w:t>Kolaudační souhlas s užíváním stavby 2 x (komunikační propojení II. etapa + veřejné</w:t>
      </w:r>
      <w:r w:rsidR="004D48FB">
        <w:rPr>
          <w:rFonts w:asciiTheme="minorHAnsi" w:hAnsiTheme="minorHAnsi" w:cstheme="minorHAnsi"/>
        </w:rPr>
        <w:t xml:space="preserve"> osvětlení) 07/2019</w:t>
      </w:r>
    </w:p>
    <w:p w14:paraId="027C351F" w14:textId="77777777" w:rsidR="004D48FB" w:rsidRPr="00DE1DE2" w:rsidRDefault="004D48FB" w:rsidP="004D48FB">
      <w:pPr>
        <w:pStyle w:val="Default"/>
        <w:ind w:left="1418"/>
        <w:jc w:val="both"/>
        <w:rPr>
          <w:rFonts w:asciiTheme="minorHAnsi" w:hAnsiTheme="minorHAnsi" w:cstheme="minorHAnsi"/>
        </w:rPr>
      </w:pPr>
    </w:p>
    <w:p w14:paraId="1200514E" w14:textId="05C477CA" w:rsidR="00F66867" w:rsidRPr="00041C0E" w:rsidRDefault="004D48FB" w:rsidP="00283FE3">
      <w:pPr>
        <w:pStyle w:val="Default"/>
        <w:numPr>
          <w:ilvl w:val="2"/>
          <w:numId w:val="3"/>
        </w:numPr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funkční určení stavby: místní komunikace IV. třídy, dopravní značení: C9a,b (stezka pro pěší a cyklisty se smíšeným provozem)</w:t>
      </w:r>
      <w:r w:rsidR="00F10DB4">
        <w:rPr>
          <w:rFonts w:asciiTheme="minorHAnsi" w:hAnsiTheme="minorHAnsi" w:cstheme="minorHAnsi"/>
        </w:rPr>
        <w:br/>
      </w:r>
    </w:p>
    <w:p w14:paraId="313BD562" w14:textId="77777777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 xml:space="preserve">Údaje o investorovi stavebního díla (zejména): </w:t>
      </w:r>
    </w:p>
    <w:p w14:paraId="512D97D9" w14:textId="2F19D1D0" w:rsidR="000E793B" w:rsidRDefault="00F66867" w:rsidP="000E793B">
      <w:pPr>
        <w:pStyle w:val="Default"/>
        <w:numPr>
          <w:ilvl w:val="2"/>
          <w:numId w:val="5"/>
        </w:numPr>
        <w:ind w:left="108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název, sídlo, adresa, kontaktní osoba (telefon, e-mail),</w:t>
      </w:r>
    </w:p>
    <w:p w14:paraId="0C92F301" w14:textId="77777777" w:rsidR="000E793B" w:rsidRPr="000E793B" w:rsidRDefault="000E793B" w:rsidP="000E793B">
      <w:pPr>
        <w:pStyle w:val="Default"/>
        <w:ind w:left="1080"/>
        <w:rPr>
          <w:rFonts w:asciiTheme="minorHAnsi" w:hAnsiTheme="minorHAnsi" w:cstheme="minorHAnsi"/>
          <w:sz w:val="10"/>
          <w:szCs w:val="10"/>
        </w:rPr>
      </w:pPr>
    </w:p>
    <w:p w14:paraId="5A526F11" w14:textId="77777777" w:rsidR="000E793B" w:rsidRDefault="000E793B" w:rsidP="000E793B">
      <w:pPr>
        <w:pStyle w:val="Default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Město Uherský Brod, Masarykovo nám. 100, 688 01 Uherský Brod,</w:t>
      </w:r>
    </w:p>
    <w:p w14:paraId="1BB3F150" w14:textId="73185FAF" w:rsidR="000E793B" w:rsidRDefault="000E793B" w:rsidP="000E793B">
      <w:pPr>
        <w:pStyle w:val="Default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Starosta Ing. Ferdinand Kubáník, </w:t>
      </w:r>
      <w:hyperlink r:id="rId10" w:history="1">
        <w:r w:rsidRPr="00691287">
          <w:rPr>
            <w:rStyle w:val="Hypertextovodkaz"/>
            <w:rFonts w:asciiTheme="minorHAnsi" w:hAnsiTheme="minorHAnsi" w:cstheme="minorHAnsi"/>
          </w:rPr>
          <w:t>ferdinand.kubanik@ub.cz</w:t>
        </w:r>
      </w:hyperlink>
      <w:r>
        <w:rPr>
          <w:rFonts w:asciiTheme="minorHAnsi" w:hAnsiTheme="minorHAnsi" w:cstheme="minorHAnsi"/>
        </w:rPr>
        <w:t>, 606 721 159</w:t>
      </w:r>
    </w:p>
    <w:p w14:paraId="67321EF8" w14:textId="77777777" w:rsidR="000E793B" w:rsidRPr="000E793B" w:rsidRDefault="000E793B" w:rsidP="000E793B">
      <w:pPr>
        <w:pStyle w:val="Default"/>
        <w:ind w:left="1080"/>
        <w:rPr>
          <w:rFonts w:asciiTheme="minorHAnsi" w:hAnsiTheme="minorHAnsi" w:cstheme="minorHAnsi"/>
          <w:sz w:val="10"/>
          <w:szCs w:val="10"/>
        </w:rPr>
      </w:pPr>
    </w:p>
    <w:p w14:paraId="59D2E6FB" w14:textId="77777777" w:rsidR="009C4848" w:rsidRDefault="00F66867" w:rsidP="00283FE3">
      <w:pPr>
        <w:pStyle w:val="Default"/>
        <w:numPr>
          <w:ilvl w:val="2"/>
          <w:numId w:val="5"/>
        </w:numPr>
        <w:ind w:left="108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způsob financování</w:t>
      </w:r>
    </w:p>
    <w:tbl>
      <w:tblPr>
        <w:tblW w:w="7230" w:type="dxa"/>
        <w:tblInd w:w="11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701"/>
        <w:gridCol w:w="1843"/>
        <w:gridCol w:w="1701"/>
      </w:tblGrid>
      <w:tr w:rsidR="009C4848" w:rsidRPr="007C66CE" w14:paraId="2EBFAA6F" w14:textId="77777777" w:rsidTr="009C4848">
        <w:trPr>
          <w:trHeight w:hRule="exact" w:val="6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B74AE4E" w14:textId="5150F39D" w:rsidR="009C4848" w:rsidRPr="009C4848" w:rsidRDefault="009C4848" w:rsidP="00011216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CBF2" w14:textId="77777777" w:rsidR="009C4848" w:rsidRPr="009C4848" w:rsidRDefault="009C4848" w:rsidP="009C4848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C4848">
              <w:rPr>
                <w:rFonts w:ascii="Calibri" w:hAnsi="Calibri" w:cs="Arial"/>
                <w:color w:val="000000"/>
                <w:sz w:val="22"/>
                <w:szCs w:val="22"/>
              </w:rPr>
              <w:t>I. ETAPA</w:t>
            </w:r>
          </w:p>
          <w:p w14:paraId="3E4FA72E" w14:textId="77777777" w:rsidR="009C4848" w:rsidRPr="009C4848" w:rsidRDefault="009C4848" w:rsidP="009C4848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C4848">
              <w:rPr>
                <w:rFonts w:ascii="Calibri" w:hAnsi="Calibri" w:cs="Arial"/>
                <w:color w:val="000000"/>
                <w:sz w:val="22"/>
                <w:szCs w:val="22"/>
              </w:rPr>
              <w:t>LÁVKA VŠEZVĚD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6642" w14:textId="77777777" w:rsidR="009C4848" w:rsidRPr="009C4848" w:rsidRDefault="009C4848" w:rsidP="00011216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C4848">
              <w:rPr>
                <w:rFonts w:ascii="Calibri" w:hAnsi="Calibri" w:cs="Arial"/>
                <w:color w:val="000000"/>
                <w:sz w:val="22"/>
                <w:szCs w:val="22"/>
              </w:rPr>
              <w:t>II. ETAPA</w:t>
            </w:r>
          </w:p>
          <w:p w14:paraId="32D89D96" w14:textId="77777777" w:rsidR="009C4848" w:rsidRPr="009C4848" w:rsidRDefault="009C4848" w:rsidP="00011216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C4848">
              <w:rPr>
                <w:rFonts w:ascii="Calibri" w:hAnsi="Calibri" w:cs="Arial"/>
                <w:color w:val="000000"/>
                <w:sz w:val="22"/>
                <w:szCs w:val="22"/>
              </w:rPr>
              <w:t>LÁVKA VŠUDYBUD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5264" w14:textId="77777777" w:rsidR="009C4848" w:rsidRPr="009C4848" w:rsidRDefault="009C4848" w:rsidP="00011216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9C4848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CELKEM</w:t>
            </w:r>
          </w:p>
        </w:tc>
      </w:tr>
      <w:tr w:rsidR="009C4848" w:rsidRPr="007C66CE" w14:paraId="39AD543E" w14:textId="77777777" w:rsidTr="009C4848">
        <w:trPr>
          <w:trHeight w:hRule="exact"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1B8E316" w14:textId="77777777" w:rsidR="009C4848" w:rsidRPr="009C4848" w:rsidRDefault="009C4848" w:rsidP="00011216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9C4848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CELKOVÉ NÁKLADY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B4A9" w14:textId="77777777" w:rsidR="009C4848" w:rsidRPr="009C4848" w:rsidRDefault="009C4848" w:rsidP="00011216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C4848">
              <w:rPr>
                <w:rFonts w:ascii="Calibri" w:hAnsi="Calibri" w:cs="Arial"/>
                <w:color w:val="000000"/>
                <w:sz w:val="22"/>
                <w:szCs w:val="22"/>
              </w:rPr>
              <w:t>21,5 mil. Kč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7FEC" w14:textId="77777777" w:rsidR="009C4848" w:rsidRPr="009C4848" w:rsidRDefault="009C4848" w:rsidP="00011216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C4848">
              <w:rPr>
                <w:rFonts w:ascii="Calibri" w:hAnsi="Calibri" w:cs="Arial"/>
                <w:color w:val="000000"/>
                <w:sz w:val="22"/>
                <w:szCs w:val="22"/>
              </w:rPr>
              <w:t>25,9 mil. Kč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7A59" w14:textId="77777777" w:rsidR="009C4848" w:rsidRPr="009C4848" w:rsidRDefault="009C4848" w:rsidP="00011216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9C4848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47,5 mil. Kč</w:t>
            </w:r>
          </w:p>
        </w:tc>
      </w:tr>
      <w:tr w:rsidR="009C4848" w:rsidRPr="007C66CE" w14:paraId="6C23C06A" w14:textId="77777777" w:rsidTr="009C4848">
        <w:trPr>
          <w:trHeight w:hRule="exact"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98592EF" w14:textId="77777777" w:rsidR="009C4848" w:rsidRPr="009C4848" w:rsidRDefault="009C4848" w:rsidP="00011216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9C4848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DOTACE SFDI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C573" w14:textId="77777777" w:rsidR="009C4848" w:rsidRPr="009C4848" w:rsidRDefault="009C4848" w:rsidP="00011216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C4848">
              <w:rPr>
                <w:rFonts w:ascii="Calibri" w:hAnsi="Calibri" w:cs="Arial"/>
                <w:color w:val="000000"/>
                <w:sz w:val="22"/>
                <w:szCs w:val="22"/>
              </w:rPr>
              <w:t>7,8 mil. Kč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9275" w14:textId="77777777" w:rsidR="009C4848" w:rsidRPr="009C4848" w:rsidRDefault="009C4848" w:rsidP="00011216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C4848">
              <w:rPr>
                <w:rFonts w:ascii="Calibri" w:hAnsi="Calibri" w:cs="Arial"/>
                <w:color w:val="000000"/>
                <w:sz w:val="22"/>
                <w:szCs w:val="22"/>
              </w:rPr>
              <w:t>14,9 mil. Kč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88FDB" w14:textId="77777777" w:rsidR="009C4848" w:rsidRPr="009C4848" w:rsidRDefault="009C4848" w:rsidP="00011216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9C4848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22,7 mil. Kč</w:t>
            </w:r>
          </w:p>
        </w:tc>
      </w:tr>
      <w:tr w:rsidR="009C4848" w:rsidRPr="007C66CE" w14:paraId="17572909" w14:textId="77777777" w:rsidTr="009C4848">
        <w:trPr>
          <w:trHeight w:hRule="exact"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2998604" w14:textId="77777777" w:rsidR="009C4848" w:rsidRPr="009C4848" w:rsidRDefault="009C4848" w:rsidP="00011216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9C4848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VLASTNÍ NÁKLADY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0352" w14:textId="77777777" w:rsidR="009C4848" w:rsidRPr="009C4848" w:rsidRDefault="009C4848" w:rsidP="00011216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C4848">
              <w:rPr>
                <w:rFonts w:ascii="Calibri" w:hAnsi="Calibri" w:cs="Arial"/>
                <w:color w:val="000000"/>
                <w:sz w:val="22"/>
                <w:szCs w:val="22"/>
              </w:rPr>
              <w:t>13,8 mil. Kč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3FA5" w14:textId="77777777" w:rsidR="009C4848" w:rsidRPr="009C4848" w:rsidRDefault="009C4848" w:rsidP="00011216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C4848">
              <w:rPr>
                <w:rFonts w:ascii="Calibri" w:hAnsi="Calibri" w:cs="Arial"/>
                <w:color w:val="000000"/>
                <w:sz w:val="22"/>
                <w:szCs w:val="22"/>
              </w:rPr>
              <w:t>11,0 mil. Kč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9B80" w14:textId="77777777" w:rsidR="009C4848" w:rsidRPr="009C4848" w:rsidRDefault="009C4848" w:rsidP="00011216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9C4848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24,8 mil. Kč</w:t>
            </w:r>
          </w:p>
        </w:tc>
      </w:tr>
    </w:tbl>
    <w:p w14:paraId="48EC4B84" w14:textId="20014878" w:rsidR="00F66867" w:rsidRPr="00041C0E" w:rsidRDefault="00F66867" w:rsidP="009C4848">
      <w:pPr>
        <w:pStyle w:val="Default"/>
        <w:ind w:left="1080"/>
        <w:rPr>
          <w:rFonts w:asciiTheme="minorHAnsi" w:hAnsiTheme="minorHAnsi" w:cstheme="minorHAnsi"/>
        </w:rPr>
      </w:pPr>
    </w:p>
    <w:p w14:paraId="2C19EC08" w14:textId="77777777" w:rsidR="00F66867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Stručný popis stavu před a po realizaci, bodový výčet přínosů realizace</w:t>
      </w:r>
    </w:p>
    <w:p w14:paraId="1E096824" w14:textId="77777777" w:rsidR="00BE0FD5" w:rsidRPr="00BE0FD5" w:rsidRDefault="00BE0FD5" w:rsidP="00BE0FD5">
      <w:pPr>
        <w:pStyle w:val="Default"/>
        <w:ind w:left="360"/>
        <w:rPr>
          <w:rFonts w:asciiTheme="minorHAnsi" w:hAnsiTheme="minorHAnsi" w:cstheme="minorHAnsi"/>
          <w:sz w:val="10"/>
          <w:szCs w:val="10"/>
        </w:rPr>
      </w:pPr>
    </w:p>
    <w:p w14:paraId="7980CA04" w14:textId="77777777" w:rsidR="00F66867" w:rsidRDefault="00F66867" w:rsidP="0005781E">
      <w:pPr>
        <w:pStyle w:val="Default"/>
        <w:numPr>
          <w:ilvl w:val="2"/>
          <w:numId w:val="5"/>
        </w:numPr>
        <w:ind w:left="1080"/>
        <w:rPr>
          <w:rFonts w:asciiTheme="minorHAnsi" w:hAnsiTheme="minorHAnsi" w:cstheme="minorHAnsi"/>
        </w:rPr>
      </w:pPr>
      <w:r w:rsidRPr="0005781E">
        <w:rPr>
          <w:rFonts w:asciiTheme="minorHAnsi" w:hAnsiTheme="minorHAnsi" w:cstheme="minorHAnsi"/>
        </w:rPr>
        <w:t>Urbanisticko-architektonický kontext (krajinný a městský kontext)</w:t>
      </w:r>
    </w:p>
    <w:p w14:paraId="1BABCB09" w14:textId="77777777" w:rsidR="0005781E" w:rsidRPr="00DE1DE2" w:rsidRDefault="0005781E" w:rsidP="0005781E">
      <w:pPr>
        <w:pStyle w:val="Default"/>
        <w:ind w:left="1080"/>
        <w:rPr>
          <w:rFonts w:asciiTheme="minorHAnsi" w:hAnsiTheme="minorHAnsi" w:cstheme="minorHAnsi"/>
          <w:sz w:val="10"/>
          <w:szCs w:val="10"/>
        </w:rPr>
      </w:pPr>
    </w:p>
    <w:p w14:paraId="57E73583" w14:textId="6AD61FA6" w:rsidR="00D904FF" w:rsidRDefault="00D83DA3" w:rsidP="00DE1DE2">
      <w:pPr>
        <w:pStyle w:val="Default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Stav před realizací byly </w:t>
      </w:r>
      <w:r w:rsidR="00603ED5">
        <w:rPr>
          <w:rFonts w:asciiTheme="minorHAnsi" w:hAnsiTheme="minorHAnsi" w:cstheme="minorHAnsi"/>
        </w:rPr>
        <w:t>demograficky a historicky narů</w:t>
      </w:r>
      <w:r w:rsidR="00D904FF">
        <w:rPr>
          <w:rFonts w:asciiTheme="minorHAnsi" w:hAnsiTheme="minorHAnsi" w:cstheme="minorHAnsi"/>
        </w:rPr>
        <w:t xml:space="preserve">stající </w:t>
      </w:r>
      <w:r>
        <w:rPr>
          <w:rFonts w:asciiTheme="minorHAnsi" w:hAnsiTheme="minorHAnsi" w:cstheme="minorHAnsi"/>
        </w:rPr>
        <w:t>bariéry</w:t>
      </w:r>
      <w:r w:rsidR="00603ED5">
        <w:rPr>
          <w:rFonts w:asciiTheme="minorHAnsi" w:hAnsiTheme="minorHAnsi" w:cstheme="minorHAnsi"/>
        </w:rPr>
        <w:t xml:space="preserve"> -</w:t>
      </w:r>
      <w:r w:rsidR="00D904FF">
        <w:rPr>
          <w:rFonts w:asciiTheme="minorHAnsi" w:hAnsiTheme="minorHAnsi" w:cstheme="minorHAnsi"/>
        </w:rPr>
        <w:t xml:space="preserve"> frekvence</w:t>
      </w:r>
      <w:r w:rsidR="00603ED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silnice I/50 a řeka Olšava</w:t>
      </w:r>
      <w:r w:rsidR="00D904FF">
        <w:rPr>
          <w:rFonts w:asciiTheme="minorHAnsi" w:hAnsiTheme="minorHAnsi" w:cstheme="minorHAnsi"/>
        </w:rPr>
        <w:t xml:space="preserve"> s možností</w:t>
      </w:r>
      <w:r w:rsidR="00603ED5">
        <w:rPr>
          <w:rFonts w:asciiTheme="minorHAnsi" w:hAnsiTheme="minorHAnsi" w:cstheme="minorHAnsi"/>
        </w:rPr>
        <w:t xml:space="preserve"> překoná</w:t>
      </w:r>
      <w:r>
        <w:rPr>
          <w:rFonts w:asciiTheme="minorHAnsi" w:hAnsiTheme="minorHAnsi" w:cstheme="minorHAnsi"/>
        </w:rPr>
        <w:t>n</w:t>
      </w:r>
      <w:r w:rsidR="00D904FF">
        <w:rPr>
          <w:rFonts w:asciiTheme="minorHAnsi" w:hAnsiTheme="minorHAnsi" w:cstheme="minorHAnsi"/>
        </w:rPr>
        <w:t>í</w:t>
      </w:r>
      <w:r w:rsidR="00603ED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pouze po vytíženém silničním mostě</w:t>
      </w:r>
      <w:r w:rsidR="00854129">
        <w:rPr>
          <w:rFonts w:asciiTheme="minorHAnsi" w:hAnsiTheme="minorHAnsi" w:cstheme="minorHAnsi"/>
        </w:rPr>
        <w:t xml:space="preserve">, který je mimo přímou trasu mezi centrem a sídlištěm. </w:t>
      </w:r>
      <w:r w:rsidR="00915561" w:rsidRPr="005F0209">
        <w:rPr>
          <w:rFonts w:asciiTheme="minorHAnsi" w:hAnsiTheme="minorHAnsi" w:cstheme="minorHAnsi"/>
        </w:rPr>
        <w:t>Jmenované bariéry tvoř</w:t>
      </w:r>
      <w:r w:rsidR="00915561">
        <w:rPr>
          <w:rFonts w:asciiTheme="minorHAnsi" w:hAnsiTheme="minorHAnsi" w:cstheme="minorHAnsi"/>
        </w:rPr>
        <w:t>ily</w:t>
      </w:r>
      <w:r w:rsidR="00915561" w:rsidRPr="005F0209">
        <w:rPr>
          <w:rFonts w:asciiTheme="minorHAnsi" w:hAnsiTheme="minorHAnsi" w:cstheme="minorHAnsi"/>
        </w:rPr>
        <w:t xml:space="preserve"> obtížně překonatelné překážky zejména pro pěší včetně hendikepovaných občanů, pro rodiče s kočárky a samozřejmě cyklisty, kteří trasu používají zejména pro dojížďku do zaměstnání do areálu firmy Slováckých strojíren, a. s. a do nivnické průmyslové zóny. </w:t>
      </w:r>
    </w:p>
    <w:p w14:paraId="65630153" w14:textId="560D78CC" w:rsidR="00DE1DE2" w:rsidRDefault="00D904FF" w:rsidP="00DE1DE2">
      <w:pPr>
        <w:pStyle w:val="Default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Novostavba lávek jako prvek komunikačního propojení řeší b</w:t>
      </w:r>
      <w:r w:rsidRPr="00DE1DE2">
        <w:rPr>
          <w:rFonts w:asciiTheme="minorHAnsi" w:hAnsiTheme="minorHAnsi" w:cstheme="minorHAnsi"/>
        </w:rPr>
        <w:t>ezpečn</w:t>
      </w:r>
      <w:r w:rsidR="00603ED5">
        <w:rPr>
          <w:rFonts w:asciiTheme="minorHAnsi" w:hAnsiTheme="minorHAnsi" w:cstheme="minorHAnsi"/>
        </w:rPr>
        <w:t>ou a efektivní</w:t>
      </w:r>
      <w:r>
        <w:rPr>
          <w:rFonts w:asciiTheme="minorHAnsi" w:hAnsiTheme="minorHAnsi" w:cstheme="minorHAnsi"/>
        </w:rPr>
        <w:t xml:space="preserve"> trasu mezi</w:t>
      </w:r>
      <w:r w:rsidRPr="00DE1DE2">
        <w:rPr>
          <w:rFonts w:asciiTheme="minorHAnsi" w:hAnsiTheme="minorHAnsi" w:cstheme="minorHAnsi"/>
        </w:rPr>
        <w:t xml:space="preserve"> sídliště</w:t>
      </w:r>
      <w:r>
        <w:rPr>
          <w:rFonts w:asciiTheme="minorHAnsi" w:hAnsiTheme="minorHAnsi" w:cstheme="minorHAnsi"/>
        </w:rPr>
        <w:t>m</w:t>
      </w:r>
      <w:r w:rsidRPr="00DE1DE2">
        <w:rPr>
          <w:rFonts w:asciiTheme="minorHAnsi" w:hAnsiTheme="minorHAnsi" w:cstheme="minorHAnsi"/>
        </w:rPr>
        <w:t xml:space="preserve"> Olšava s</w:t>
      </w:r>
      <w:r w:rsidR="00921637">
        <w:rPr>
          <w:rFonts w:asciiTheme="minorHAnsi" w:hAnsiTheme="minorHAnsi" w:cstheme="minorHAnsi"/>
        </w:rPr>
        <w:t> </w:t>
      </w:r>
      <w:r w:rsidRPr="00DE1DE2">
        <w:rPr>
          <w:rFonts w:asciiTheme="minorHAnsi" w:hAnsiTheme="minorHAnsi" w:cstheme="minorHAnsi"/>
        </w:rPr>
        <w:t>dalšími</w:t>
      </w:r>
      <w:r w:rsidR="00921637">
        <w:rPr>
          <w:rFonts w:asciiTheme="minorHAnsi" w:hAnsiTheme="minorHAnsi" w:cstheme="minorHAnsi"/>
        </w:rPr>
        <w:t xml:space="preserve"> rodinnými domy v této části</w:t>
      </w:r>
      <w:r w:rsidRPr="00DE1DE2">
        <w:rPr>
          <w:rFonts w:asciiTheme="minorHAnsi" w:hAnsiTheme="minorHAnsi" w:cstheme="minorHAnsi"/>
        </w:rPr>
        <w:t xml:space="preserve"> města. </w:t>
      </w:r>
      <w:r w:rsidR="00915561" w:rsidRPr="005F0209">
        <w:rPr>
          <w:rFonts w:asciiTheme="minorHAnsi" w:hAnsiTheme="minorHAnsi" w:cstheme="minorHAnsi"/>
        </w:rPr>
        <w:t>Současně je výstavbou lávek vyřešeno napojení nejen centra, ale téměř celého území města na již zbudovanou Cyklistickou stezku Uherský Brod - Nivnice a dále napojení do širokého regionu Slovácka s řadou cyklistických stezek vedoucích až k Baťovu kanálu. Stavba je navržena ve s</w:t>
      </w:r>
      <w:r w:rsidR="00915561">
        <w:rPr>
          <w:rFonts w:asciiTheme="minorHAnsi" w:hAnsiTheme="minorHAnsi" w:cstheme="minorHAnsi"/>
        </w:rPr>
        <w:t xml:space="preserve">távající zástavbě </w:t>
      </w:r>
      <w:r w:rsidR="0055492C">
        <w:rPr>
          <w:rFonts w:asciiTheme="minorHAnsi" w:hAnsiTheme="minorHAnsi" w:cstheme="minorHAnsi"/>
        </w:rPr>
        <w:t>s ohledem na možnosti navázání na stávající pěší linie a terénní body, které umožnili překonat požadovanou výšku nadjezdu nad komunikací první třídy.</w:t>
      </w:r>
      <w:r w:rsidR="00FA1042">
        <w:rPr>
          <w:rFonts w:asciiTheme="minorHAnsi" w:hAnsiTheme="minorHAnsi" w:cstheme="minorHAnsi"/>
        </w:rPr>
        <w:t xml:space="preserve"> Stavba </w:t>
      </w:r>
      <w:r w:rsidR="0055492C">
        <w:rPr>
          <w:rFonts w:asciiTheme="minorHAnsi" w:hAnsiTheme="minorHAnsi" w:cstheme="minorHAnsi"/>
        </w:rPr>
        <w:t>lávek v</w:t>
      </w:r>
      <w:r w:rsidR="00915561">
        <w:rPr>
          <w:rFonts w:asciiTheme="minorHAnsi" w:hAnsiTheme="minorHAnsi" w:cstheme="minorHAnsi"/>
        </w:rPr>
        <w:t xml:space="preserve"> maximální </w:t>
      </w:r>
      <w:r w:rsidR="00915561" w:rsidRPr="005F0209">
        <w:rPr>
          <w:rFonts w:asciiTheme="minorHAnsi" w:hAnsiTheme="minorHAnsi" w:cstheme="minorHAnsi"/>
        </w:rPr>
        <w:t>míře zachováv</w:t>
      </w:r>
      <w:r w:rsidR="00FA1042">
        <w:rPr>
          <w:rFonts w:asciiTheme="minorHAnsi" w:hAnsiTheme="minorHAnsi" w:cstheme="minorHAnsi"/>
        </w:rPr>
        <w:t>á</w:t>
      </w:r>
      <w:r w:rsidR="00915561" w:rsidRPr="005F0209">
        <w:rPr>
          <w:rFonts w:asciiTheme="minorHAnsi" w:hAnsiTheme="minorHAnsi" w:cstheme="minorHAnsi"/>
        </w:rPr>
        <w:t xml:space="preserve"> stávaj</w:t>
      </w:r>
      <w:r w:rsidR="00915561">
        <w:rPr>
          <w:rFonts w:asciiTheme="minorHAnsi" w:hAnsiTheme="minorHAnsi" w:cstheme="minorHAnsi"/>
        </w:rPr>
        <w:t>ící</w:t>
      </w:r>
      <w:r w:rsidR="00FA1042">
        <w:rPr>
          <w:rFonts w:asciiTheme="minorHAnsi" w:hAnsiTheme="minorHAnsi" w:cstheme="minorHAnsi"/>
        </w:rPr>
        <w:t xml:space="preserve"> příměstský ráz krajiny v dané lokalitě.</w:t>
      </w:r>
    </w:p>
    <w:p w14:paraId="2898E440" w14:textId="77777777" w:rsidR="0005781E" w:rsidRPr="00DE1DE2" w:rsidRDefault="0005781E" w:rsidP="0005781E">
      <w:pPr>
        <w:pStyle w:val="Default"/>
        <w:ind w:left="1080"/>
        <w:rPr>
          <w:rFonts w:asciiTheme="minorHAnsi" w:hAnsiTheme="minorHAnsi" w:cstheme="minorHAnsi"/>
          <w:sz w:val="10"/>
          <w:szCs w:val="10"/>
        </w:rPr>
      </w:pPr>
    </w:p>
    <w:p w14:paraId="5CD2F6DC" w14:textId="77777777" w:rsidR="00F66867" w:rsidRPr="0005781E" w:rsidRDefault="00F66867" w:rsidP="0005781E">
      <w:pPr>
        <w:pStyle w:val="Default"/>
        <w:numPr>
          <w:ilvl w:val="2"/>
          <w:numId w:val="5"/>
        </w:numPr>
        <w:ind w:left="1080"/>
        <w:rPr>
          <w:rFonts w:asciiTheme="minorHAnsi" w:hAnsiTheme="minorHAnsi" w:cstheme="minorHAnsi"/>
        </w:rPr>
      </w:pPr>
      <w:r w:rsidRPr="0005781E">
        <w:rPr>
          <w:rFonts w:asciiTheme="minorHAnsi" w:hAnsiTheme="minorHAnsi" w:cstheme="minorHAnsi"/>
        </w:rPr>
        <w:t>Architektonické řešení</w:t>
      </w:r>
    </w:p>
    <w:p w14:paraId="567D1FDA" w14:textId="77777777" w:rsidR="0005781E" w:rsidRPr="0005781E" w:rsidRDefault="0005781E" w:rsidP="0005781E">
      <w:pPr>
        <w:pStyle w:val="Default"/>
        <w:ind w:left="1260"/>
        <w:rPr>
          <w:rStyle w:val="Siln"/>
          <w:rFonts w:asciiTheme="minorHAnsi" w:hAnsiTheme="minorHAnsi" w:cstheme="minorHAnsi"/>
          <w:b w:val="0"/>
          <w:bCs w:val="0"/>
          <w:sz w:val="10"/>
          <w:szCs w:val="10"/>
        </w:rPr>
      </w:pPr>
    </w:p>
    <w:p w14:paraId="4C6A9D39" w14:textId="7CB2095A" w:rsidR="00FA1042" w:rsidRDefault="0005781E" w:rsidP="00FA1042">
      <w:pPr>
        <w:pStyle w:val="Default"/>
        <w:ind w:left="1080"/>
        <w:jc w:val="both"/>
        <w:rPr>
          <w:rFonts w:asciiTheme="minorHAnsi" w:hAnsiTheme="minorHAnsi" w:cstheme="minorHAnsi"/>
        </w:rPr>
      </w:pPr>
      <w:r w:rsidRPr="0005781E">
        <w:rPr>
          <w:rFonts w:asciiTheme="minorHAnsi" w:hAnsiTheme="minorHAnsi" w:cstheme="minorHAnsi"/>
        </w:rPr>
        <w:t>Lávky jsou pěším a cyklistickým</w:t>
      </w:r>
      <w:r>
        <w:rPr>
          <w:rFonts w:asciiTheme="minorHAnsi" w:hAnsiTheme="minorHAnsi" w:cstheme="minorHAnsi"/>
        </w:rPr>
        <w:t xml:space="preserve"> </w:t>
      </w:r>
      <w:r w:rsidRPr="0005781E">
        <w:rPr>
          <w:rFonts w:asciiTheme="minorHAnsi" w:hAnsiTheme="minorHAnsi" w:cstheme="minorHAnsi"/>
        </w:rPr>
        <w:t>propojením centra města Uherský</w:t>
      </w:r>
      <w:r>
        <w:rPr>
          <w:rFonts w:asciiTheme="minorHAnsi" w:hAnsiTheme="minorHAnsi" w:cstheme="minorHAnsi"/>
        </w:rPr>
        <w:t xml:space="preserve"> </w:t>
      </w:r>
      <w:r w:rsidRPr="0005781E">
        <w:rPr>
          <w:rFonts w:asciiTheme="minorHAnsi" w:hAnsiTheme="minorHAnsi" w:cstheme="minorHAnsi"/>
        </w:rPr>
        <w:t xml:space="preserve">Brod </w:t>
      </w:r>
      <w:r w:rsidR="00921637">
        <w:rPr>
          <w:rFonts w:asciiTheme="minorHAnsi" w:hAnsiTheme="minorHAnsi" w:cstheme="minorHAnsi"/>
        </w:rPr>
        <w:t xml:space="preserve">především </w:t>
      </w:r>
      <w:r w:rsidRPr="0005781E">
        <w:rPr>
          <w:rFonts w:asciiTheme="minorHAnsi" w:hAnsiTheme="minorHAnsi" w:cstheme="minorHAnsi"/>
        </w:rPr>
        <w:t>se sídlištěm Olšava</w:t>
      </w:r>
      <w:r w:rsidR="00921637">
        <w:rPr>
          <w:rFonts w:asciiTheme="minorHAnsi" w:hAnsiTheme="minorHAnsi" w:cstheme="minorHAnsi"/>
        </w:rPr>
        <w:t>, ale nov</w:t>
      </w:r>
      <w:r w:rsidR="00FA1042">
        <w:rPr>
          <w:rFonts w:asciiTheme="minorHAnsi" w:hAnsiTheme="minorHAnsi" w:cstheme="minorHAnsi"/>
        </w:rPr>
        <w:t>á</w:t>
      </w:r>
      <w:r w:rsidR="00921637">
        <w:rPr>
          <w:rFonts w:asciiTheme="minorHAnsi" w:hAnsiTheme="minorHAnsi" w:cstheme="minorHAnsi"/>
        </w:rPr>
        <w:t xml:space="preserve"> kvalita je tu </w:t>
      </w:r>
      <w:r w:rsidR="00851A43">
        <w:rPr>
          <w:rFonts w:asciiTheme="minorHAnsi" w:hAnsiTheme="minorHAnsi" w:cstheme="minorHAnsi"/>
        </w:rPr>
        <w:t xml:space="preserve">nyní i </w:t>
      </w:r>
      <w:r w:rsidR="00FA1042">
        <w:rPr>
          <w:rFonts w:asciiTheme="minorHAnsi" w:hAnsiTheme="minorHAnsi" w:cstheme="minorHAnsi"/>
        </w:rPr>
        <w:t xml:space="preserve">v nemalé míře </w:t>
      </w:r>
      <w:r w:rsidR="00921637">
        <w:rPr>
          <w:rFonts w:asciiTheme="minorHAnsi" w:hAnsiTheme="minorHAnsi" w:cstheme="minorHAnsi"/>
        </w:rPr>
        <w:t xml:space="preserve">pro </w:t>
      </w:r>
      <w:r w:rsidR="00FA1042">
        <w:rPr>
          <w:rFonts w:asciiTheme="minorHAnsi" w:hAnsiTheme="minorHAnsi" w:cstheme="minorHAnsi"/>
        </w:rPr>
        <w:t>obyvatele centra</w:t>
      </w:r>
      <w:r w:rsidRPr="0005781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FA1042">
        <w:rPr>
          <w:rFonts w:asciiTheme="minorHAnsi" w:hAnsiTheme="minorHAnsi" w:cstheme="minorHAnsi"/>
        </w:rPr>
        <w:t>Objekty pro cestu</w:t>
      </w:r>
      <w:r w:rsidR="00FA1042" w:rsidRPr="0005781E">
        <w:rPr>
          <w:rFonts w:asciiTheme="minorHAnsi" w:hAnsiTheme="minorHAnsi" w:cstheme="minorHAnsi"/>
        </w:rPr>
        <w:t xml:space="preserve"> </w:t>
      </w:r>
      <w:r w:rsidRPr="0005781E">
        <w:rPr>
          <w:rFonts w:asciiTheme="minorHAnsi" w:hAnsiTheme="minorHAnsi" w:cstheme="minorHAnsi"/>
        </w:rPr>
        <w:t>z okraje do centra a naopak</w:t>
      </w:r>
      <w:r w:rsidR="00EF049C">
        <w:rPr>
          <w:rFonts w:asciiTheme="minorHAnsi" w:hAnsiTheme="minorHAnsi" w:cstheme="minorHAnsi"/>
        </w:rPr>
        <w:t>, které</w:t>
      </w:r>
      <w:r>
        <w:rPr>
          <w:rFonts w:asciiTheme="minorHAnsi" w:hAnsiTheme="minorHAnsi" w:cstheme="minorHAnsi"/>
        </w:rPr>
        <w:t xml:space="preserve"> </w:t>
      </w:r>
      <w:r w:rsidR="00EF049C">
        <w:rPr>
          <w:rFonts w:asciiTheme="minorHAnsi" w:hAnsiTheme="minorHAnsi" w:cstheme="minorHAnsi"/>
        </w:rPr>
        <w:t xml:space="preserve">překračují </w:t>
      </w:r>
      <w:r w:rsidRPr="0005781E">
        <w:rPr>
          <w:rFonts w:asciiTheme="minorHAnsi" w:hAnsiTheme="minorHAnsi" w:cstheme="minorHAnsi"/>
        </w:rPr>
        <w:t>meandr řeky Olšavy a silnici</w:t>
      </w:r>
      <w:r>
        <w:rPr>
          <w:rFonts w:asciiTheme="minorHAnsi" w:hAnsiTheme="minorHAnsi" w:cstheme="minorHAnsi"/>
        </w:rPr>
        <w:t xml:space="preserve"> </w:t>
      </w:r>
      <w:r w:rsidRPr="0005781E">
        <w:rPr>
          <w:rFonts w:asciiTheme="minorHAnsi" w:hAnsiTheme="minorHAnsi" w:cstheme="minorHAnsi"/>
        </w:rPr>
        <w:t xml:space="preserve">I/50 </w:t>
      </w:r>
      <w:r w:rsidR="00EF049C">
        <w:rPr>
          <w:rFonts w:asciiTheme="minorHAnsi" w:hAnsiTheme="minorHAnsi" w:cstheme="minorHAnsi"/>
        </w:rPr>
        <w:t>vznikly realizací dvou</w:t>
      </w:r>
      <w:r w:rsidRPr="0005781E">
        <w:rPr>
          <w:rFonts w:asciiTheme="minorHAnsi" w:hAnsiTheme="minorHAnsi" w:cstheme="minorHAnsi"/>
        </w:rPr>
        <w:t xml:space="preserve"> téměř identických lávek,</w:t>
      </w:r>
      <w:r>
        <w:rPr>
          <w:rFonts w:asciiTheme="minorHAnsi" w:hAnsiTheme="minorHAnsi" w:cstheme="minorHAnsi"/>
        </w:rPr>
        <w:t xml:space="preserve"> </w:t>
      </w:r>
      <w:r w:rsidRPr="0005781E">
        <w:rPr>
          <w:rFonts w:asciiTheme="minorHAnsi" w:hAnsiTheme="minorHAnsi" w:cstheme="minorHAnsi"/>
        </w:rPr>
        <w:t>se zavěšenou mostovou konstrukcí.</w:t>
      </w:r>
      <w:r>
        <w:rPr>
          <w:rFonts w:asciiTheme="minorHAnsi" w:hAnsiTheme="minorHAnsi" w:cstheme="minorHAnsi"/>
        </w:rPr>
        <w:t xml:space="preserve"> </w:t>
      </w:r>
      <w:r w:rsidRPr="0005781E">
        <w:rPr>
          <w:rFonts w:asciiTheme="minorHAnsi" w:hAnsiTheme="minorHAnsi" w:cstheme="minorHAnsi"/>
        </w:rPr>
        <w:t>Spojené pylony na každé z nich vytváří</w:t>
      </w:r>
      <w:r>
        <w:rPr>
          <w:rFonts w:asciiTheme="minorHAnsi" w:hAnsiTheme="minorHAnsi" w:cstheme="minorHAnsi"/>
        </w:rPr>
        <w:t xml:space="preserve"> </w:t>
      </w:r>
      <w:r w:rsidRPr="0005781E">
        <w:rPr>
          <w:rFonts w:asciiTheme="minorHAnsi" w:hAnsiTheme="minorHAnsi" w:cstheme="minorHAnsi"/>
        </w:rPr>
        <w:t>bránu. Na severu bránu do města,</w:t>
      </w:r>
      <w:r>
        <w:rPr>
          <w:rFonts w:asciiTheme="minorHAnsi" w:hAnsiTheme="minorHAnsi" w:cstheme="minorHAnsi"/>
        </w:rPr>
        <w:t xml:space="preserve"> </w:t>
      </w:r>
      <w:r w:rsidRPr="0005781E">
        <w:rPr>
          <w:rFonts w:asciiTheme="minorHAnsi" w:hAnsiTheme="minorHAnsi" w:cstheme="minorHAnsi"/>
        </w:rPr>
        <w:t>na jihu na předměstí. Lávky jsou</w:t>
      </w:r>
      <w:r>
        <w:rPr>
          <w:rFonts w:asciiTheme="minorHAnsi" w:hAnsiTheme="minorHAnsi" w:cstheme="minorHAnsi"/>
        </w:rPr>
        <w:t xml:space="preserve"> </w:t>
      </w:r>
      <w:r w:rsidRPr="0005781E">
        <w:rPr>
          <w:rFonts w:asciiTheme="minorHAnsi" w:hAnsiTheme="minorHAnsi" w:cstheme="minorHAnsi"/>
        </w:rPr>
        <w:t xml:space="preserve">pojmenovány podle postavy </w:t>
      </w:r>
      <w:proofErr w:type="spellStart"/>
      <w:r w:rsidRPr="0005781E">
        <w:rPr>
          <w:rFonts w:asciiTheme="minorHAnsi" w:hAnsiTheme="minorHAnsi" w:cstheme="minorHAnsi"/>
        </w:rPr>
        <w:t>Všezvěd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05781E">
        <w:rPr>
          <w:rFonts w:asciiTheme="minorHAnsi" w:hAnsiTheme="minorHAnsi" w:cstheme="minorHAnsi"/>
        </w:rPr>
        <w:t>Všudybud</w:t>
      </w:r>
      <w:proofErr w:type="spellEnd"/>
      <w:r w:rsidRPr="0005781E">
        <w:rPr>
          <w:rFonts w:asciiTheme="minorHAnsi" w:hAnsiTheme="minorHAnsi" w:cstheme="minorHAnsi"/>
        </w:rPr>
        <w:t>, který je průvodcem v</w:t>
      </w:r>
      <w:r>
        <w:rPr>
          <w:rFonts w:asciiTheme="minorHAnsi" w:hAnsiTheme="minorHAnsi" w:cstheme="minorHAnsi"/>
        </w:rPr>
        <w:t> </w:t>
      </w:r>
      <w:r w:rsidRPr="0005781E">
        <w:rPr>
          <w:rFonts w:asciiTheme="minorHAnsi" w:hAnsiTheme="minorHAnsi" w:cstheme="minorHAnsi"/>
        </w:rPr>
        <w:t>knize</w:t>
      </w:r>
      <w:r>
        <w:rPr>
          <w:rFonts w:asciiTheme="minorHAnsi" w:hAnsiTheme="minorHAnsi" w:cstheme="minorHAnsi"/>
        </w:rPr>
        <w:t xml:space="preserve"> </w:t>
      </w:r>
      <w:r w:rsidR="00854129">
        <w:rPr>
          <w:rFonts w:asciiTheme="minorHAnsi" w:hAnsiTheme="minorHAnsi" w:cstheme="minorHAnsi"/>
        </w:rPr>
        <w:t xml:space="preserve">našeho rodáka </w:t>
      </w:r>
      <w:r w:rsidRPr="0005781E">
        <w:rPr>
          <w:rFonts w:asciiTheme="minorHAnsi" w:hAnsiTheme="minorHAnsi" w:cstheme="minorHAnsi"/>
        </w:rPr>
        <w:t>Jana Amose Komenského Labyrint</w:t>
      </w:r>
      <w:r>
        <w:rPr>
          <w:rFonts w:asciiTheme="minorHAnsi" w:hAnsiTheme="minorHAnsi" w:cstheme="minorHAnsi"/>
        </w:rPr>
        <w:t xml:space="preserve"> </w:t>
      </w:r>
      <w:r w:rsidRPr="0005781E">
        <w:rPr>
          <w:rFonts w:asciiTheme="minorHAnsi" w:hAnsiTheme="minorHAnsi" w:cstheme="minorHAnsi"/>
        </w:rPr>
        <w:t xml:space="preserve">světa a ráj srdce. </w:t>
      </w:r>
      <w:proofErr w:type="spellStart"/>
      <w:r w:rsidRPr="0005781E">
        <w:rPr>
          <w:rFonts w:asciiTheme="minorHAnsi" w:hAnsiTheme="minorHAnsi" w:cstheme="minorHAnsi"/>
        </w:rPr>
        <w:t>Všezvěd</w:t>
      </w:r>
      <w:proofErr w:type="spellEnd"/>
      <w:r w:rsidRPr="0005781E">
        <w:rPr>
          <w:rFonts w:asciiTheme="minorHAnsi" w:hAnsiTheme="minorHAnsi" w:cstheme="minorHAnsi"/>
        </w:rPr>
        <w:t xml:space="preserve"> </w:t>
      </w:r>
      <w:proofErr w:type="spellStart"/>
      <w:r w:rsidRPr="0005781E">
        <w:rPr>
          <w:rFonts w:asciiTheme="minorHAnsi" w:hAnsiTheme="minorHAnsi" w:cstheme="minorHAnsi"/>
        </w:rPr>
        <w:t>Všudybud</w:t>
      </w:r>
      <w:proofErr w:type="spellEnd"/>
      <w:r>
        <w:rPr>
          <w:rFonts w:asciiTheme="minorHAnsi" w:hAnsiTheme="minorHAnsi" w:cstheme="minorHAnsi"/>
        </w:rPr>
        <w:t xml:space="preserve"> </w:t>
      </w:r>
      <w:r w:rsidRPr="0005781E">
        <w:rPr>
          <w:rFonts w:asciiTheme="minorHAnsi" w:hAnsiTheme="minorHAnsi" w:cstheme="minorHAnsi"/>
        </w:rPr>
        <w:t>ztělesňuje v této knize lidskou</w:t>
      </w:r>
      <w:r>
        <w:rPr>
          <w:rFonts w:asciiTheme="minorHAnsi" w:hAnsiTheme="minorHAnsi" w:cstheme="minorHAnsi"/>
        </w:rPr>
        <w:t xml:space="preserve"> </w:t>
      </w:r>
      <w:r w:rsidRPr="0005781E">
        <w:rPr>
          <w:rFonts w:asciiTheme="minorHAnsi" w:hAnsiTheme="minorHAnsi" w:cstheme="minorHAnsi"/>
        </w:rPr>
        <w:t>zvídavost.</w:t>
      </w:r>
      <w:r w:rsidR="00854129">
        <w:rPr>
          <w:rFonts w:asciiTheme="minorHAnsi" w:hAnsiTheme="minorHAnsi" w:cstheme="minorHAnsi"/>
        </w:rPr>
        <w:t xml:space="preserve"> </w:t>
      </w:r>
      <w:r w:rsidR="00FA1042">
        <w:rPr>
          <w:rFonts w:asciiTheme="minorHAnsi" w:hAnsiTheme="minorHAnsi" w:cstheme="minorHAnsi"/>
        </w:rPr>
        <w:t>L</w:t>
      </w:r>
      <w:r w:rsidR="00851A43">
        <w:rPr>
          <w:rFonts w:asciiTheme="minorHAnsi" w:hAnsiTheme="minorHAnsi" w:cstheme="minorHAnsi"/>
        </w:rPr>
        <w:t>inie výsledných trajektorií lávky</w:t>
      </w:r>
      <w:r w:rsidR="00FA1042">
        <w:rPr>
          <w:rFonts w:asciiTheme="minorHAnsi" w:hAnsiTheme="minorHAnsi" w:cstheme="minorHAnsi"/>
        </w:rPr>
        <w:t xml:space="preserve"> </w:t>
      </w:r>
      <w:r w:rsidR="00EF049C">
        <w:rPr>
          <w:rFonts w:asciiTheme="minorHAnsi" w:hAnsiTheme="minorHAnsi" w:cstheme="minorHAnsi"/>
        </w:rPr>
        <w:t>vložené do meandru</w:t>
      </w:r>
      <w:r w:rsidR="00FA1042">
        <w:rPr>
          <w:rFonts w:asciiTheme="minorHAnsi" w:hAnsiTheme="minorHAnsi" w:cstheme="minorHAnsi"/>
        </w:rPr>
        <w:t xml:space="preserve"> řeky </w:t>
      </w:r>
      <w:r w:rsidR="00EF049C">
        <w:rPr>
          <w:rFonts w:asciiTheme="minorHAnsi" w:hAnsiTheme="minorHAnsi" w:cstheme="minorHAnsi"/>
        </w:rPr>
        <w:t>tak</w:t>
      </w:r>
      <w:r w:rsidR="00A6732B">
        <w:rPr>
          <w:rFonts w:asciiTheme="minorHAnsi" w:hAnsiTheme="minorHAnsi" w:cstheme="minorHAnsi"/>
        </w:rPr>
        <w:t>y</w:t>
      </w:r>
      <w:r w:rsidR="00FA1042">
        <w:rPr>
          <w:rFonts w:asciiTheme="minorHAnsi" w:hAnsiTheme="minorHAnsi" w:cstheme="minorHAnsi"/>
        </w:rPr>
        <w:t xml:space="preserve"> dovolují jinou optikou vnímat malebnost těchto zákoutí</w:t>
      </w:r>
      <w:r w:rsidR="00FA1042" w:rsidRPr="005F0209">
        <w:rPr>
          <w:rFonts w:asciiTheme="minorHAnsi" w:hAnsiTheme="minorHAnsi" w:cstheme="minorHAnsi"/>
        </w:rPr>
        <w:t>.</w:t>
      </w:r>
    </w:p>
    <w:p w14:paraId="6724AE6A" w14:textId="56478F04" w:rsidR="0005781E" w:rsidRDefault="00854129" w:rsidP="0005781E">
      <w:pPr>
        <w:pStyle w:val="Default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Trasa je navíc doplněna o pískovcové sochy z městského sochařského sympózia.</w:t>
      </w:r>
    </w:p>
    <w:p w14:paraId="0C7925C6" w14:textId="77777777" w:rsidR="0005781E" w:rsidRPr="0005781E" w:rsidRDefault="0005781E" w:rsidP="0005781E">
      <w:pPr>
        <w:pStyle w:val="Default"/>
        <w:ind w:left="1080"/>
        <w:jc w:val="both"/>
        <w:rPr>
          <w:sz w:val="10"/>
          <w:szCs w:val="10"/>
        </w:rPr>
      </w:pPr>
    </w:p>
    <w:p w14:paraId="2455360F" w14:textId="77777777" w:rsidR="00F66867" w:rsidRPr="00A74DB1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apple-converted-space"/>
          <w:rFonts w:asciiTheme="minorHAnsi" w:hAnsiTheme="minorHAnsi" w:cstheme="minorHAnsi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Uživatelská kvalita (funkční řešení, komfort užití, bezpečnost)</w:t>
      </w:r>
      <w:r w:rsidRPr="00041C0E">
        <w:rPr>
          <w:rStyle w:val="apple-converted-space"/>
          <w:rFonts w:asciiTheme="minorHAnsi" w:hAnsiTheme="minorHAnsi" w:cstheme="minorHAnsi"/>
          <w:shd w:val="clear" w:color="auto" w:fill="FFFFFF"/>
        </w:rPr>
        <w:t> </w:t>
      </w:r>
    </w:p>
    <w:p w14:paraId="447822D0" w14:textId="77777777" w:rsidR="00A74DB1" w:rsidRPr="00881492" w:rsidRDefault="00A74DB1" w:rsidP="00A74DB1">
      <w:pPr>
        <w:pStyle w:val="Default"/>
        <w:ind w:left="1260"/>
        <w:rPr>
          <w:rStyle w:val="apple-converted-space"/>
          <w:rFonts w:asciiTheme="minorHAnsi" w:hAnsiTheme="minorHAnsi" w:cstheme="minorHAnsi"/>
          <w:sz w:val="10"/>
          <w:szCs w:val="10"/>
          <w:shd w:val="clear" w:color="auto" w:fill="FFFFFF"/>
        </w:rPr>
      </w:pPr>
    </w:p>
    <w:p w14:paraId="56FC64CB" w14:textId="69A76549" w:rsidR="00A74DB1" w:rsidRDefault="00A74DB1" w:rsidP="00A74DB1">
      <w:pPr>
        <w:pStyle w:val="Default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Realizovaná</w:t>
      </w:r>
      <w:r w:rsidRPr="005F0209">
        <w:rPr>
          <w:rFonts w:asciiTheme="minorHAnsi" w:hAnsiTheme="minorHAnsi" w:cstheme="minorHAnsi"/>
        </w:rPr>
        <w:t xml:space="preserve"> integrovaná stezka (pro pěší a cyklisty) má délku 583,0 m a její součástí jsou 2 lávky (</w:t>
      </w:r>
      <w:proofErr w:type="spellStart"/>
      <w:r w:rsidRPr="005F0209">
        <w:rPr>
          <w:rFonts w:asciiTheme="minorHAnsi" w:hAnsiTheme="minorHAnsi" w:cstheme="minorHAnsi"/>
        </w:rPr>
        <w:t>Všezvěd</w:t>
      </w:r>
      <w:proofErr w:type="spellEnd"/>
      <w:r w:rsidRPr="005F0209">
        <w:rPr>
          <w:rFonts w:asciiTheme="minorHAnsi" w:hAnsiTheme="minorHAnsi" w:cstheme="minorHAnsi"/>
        </w:rPr>
        <w:t xml:space="preserve"> a </w:t>
      </w:r>
      <w:proofErr w:type="spellStart"/>
      <w:r w:rsidRPr="005F0209">
        <w:rPr>
          <w:rFonts w:asciiTheme="minorHAnsi" w:hAnsiTheme="minorHAnsi" w:cstheme="minorHAnsi"/>
        </w:rPr>
        <w:t>Všudybud</w:t>
      </w:r>
      <w:proofErr w:type="spellEnd"/>
      <w:r w:rsidRPr="005F0209">
        <w:rPr>
          <w:rFonts w:asciiTheme="minorHAnsi" w:hAnsiTheme="minorHAnsi" w:cstheme="minorHAnsi"/>
        </w:rPr>
        <w:t xml:space="preserve">). Lávka </w:t>
      </w:r>
      <w:proofErr w:type="spellStart"/>
      <w:r w:rsidRPr="005F0209">
        <w:rPr>
          <w:rFonts w:asciiTheme="minorHAnsi" w:hAnsiTheme="minorHAnsi" w:cstheme="minorHAnsi"/>
        </w:rPr>
        <w:t>Všezvěd</w:t>
      </w:r>
      <w:proofErr w:type="spellEnd"/>
      <w:r w:rsidRPr="005F0209">
        <w:rPr>
          <w:rFonts w:asciiTheme="minorHAnsi" w:hAnsiTheme="minorHAnsi" w:cstheme="minorHAnsi"/>
        </w:rPr>
        <w:t xml:space="preserve"> (křížení s řekou Olšava) je dlouhá 68,0 m a lávka </w:t>
      </w:r>
      <w:proofErr w:type="spellStart"/>
      <w:r w:rsidRPr="005F0209">
        <w:rPr>
          <w:rFonts w:asciiTheme="minorHAnsi" w:hAnsiTheme="minorHAnsi" w:cstheme="minorHAnsi"/>
        </w:rPr>
        <w:t>Všudybud</w:t>
      </w:r>
      <w:proofErr w:type="spellEnd"/>
      <w:r w:rsidRPr="005F0209">
        <w:rPr>
          <w:rFonts w:asciiTheme="minorHAnsi" w:hAnsiTheme="minorHAnsi" w:cstheme="minorHAnsi"/>
        </w:rPr>
        <w:t xml:space="preserve"> (křížení s komunikací I/50) je dlouhá 68,6 m. Čistá průjezdná šířka integrované stezky je 3,0 m. Na lávkách je průjezdná šířka rozšířená na 3,5 m. Povrch stezky je z asfaltobetonu. Lávky tvoří zavěšená ocelová konstrukce s dolní ocelovou mostovkou a ocelovým pylonem.</w:t>
      </w:r>
      <w:r>
        <w:rPr>
          <w:rFonts w:asciiTheme="minorHAnsi" w:hAnsiTheme="minorHAnsi" w:cstheme="minorHAnsi"/>
        </w:rPr>
        <w:t xml:space="preserve"> </w:t>
      </w:r>
      <w:r w:rsidRPr="00A74DB1">
        <w:rPr>
          <w:rFonts w:asciiTheme="minorHAnsi" w:hAnsiTheme="minorHAnsi" w:cstheme="minorHAnsi"/>
        </w:rPr>
        <w:t xml:space="preserve">Ohraničení stezky mimo lávky je provedeno pomocí betonových obrubníků z jedné strany zapuštěných a z druhé převýšených, tvořící vodící linii pro nevidomé. Stavba se nachází v zastavěném území města a je zcela bez bariér. Začátek je na Slováckém náměstí v místě parkoviště u </w:t>
      </w:r>
      <w:r w:rsidR="00854129">
        <w:rPr>
          <w:rFonts w:asciiTheme="minorHAnsi" w:hAnsiTheme="minorHAnsi" w:cstheme="minorHAnsi"/>
        </w:rPr>
        <w:t xml:space="preserve">aquaparku </w:t>
      </w:r>
      <w:r w:rsidRPr="00A74DB1">
        <w:rPr>
          <w:rFonts w:asciiTheme="minorHAnsi" w:hAnsiTheme="minorHAnsi" w:cstheme="minorHAnsi"/>
        </w:rPr>
        <w:t>CPA Delfín,</w:t>
      </w:r>
      <w:r w:rsidR="00854129">
        <w:rPr>
          <w:rFonts w:asciiTheme="minorHAnsi" w:hAnsiTheme="minorHAnsi" w:cstheme="minorHAnsi"/>
        </w:rPr>
        <w:t xml:space="preserve"> kde je zároveň nástupní místo Naučné stezky Nivnické s</w:t>
      </w:r>
      <w:r w:rsidR="00427195">
        <w:rPr>
          <w:rFonts w:asciiTheme="minorHAnsi" w:hAnsiTheme="minorHAnsi" w:cstheme="minorHAnsi"/>
        </w:rPr>
        <w:t> </w:t>
      </w:r>
      <w:r w:rsidR="00854129">
        <w:rPr>
          <w:rFonts w:asciiTheme="minorHAnsi" w:hAnsiTheme="minorHAnsi" w:cstheme="minorHAnsi"/>
        </w:rPr>
        <w:t>infopanelem</w:t>
      </w:r>
      <w:r w:rsidR="00427195">
        <w:rPr>
          <w:rFonts w:asciiTheme="minorHAnsi" w:hAnsiTheme="minorHAnsi" w:cstheme="minorHAnsi"/>
        </w:rPr>
        <w:t>. T</w:t>
      </w:r>
      <w:r w:rsidRPr="00A74DB1">
        <w:rPr>
          <w:rFonts w:asciiTheme="minorHAnsi" w:hAnsiTheme="minorHAnsi" w:cstheme="minorHAnsi"/>
        </w:rPr>
        <w:t>rasa dále pokračuje směrem k řece Olšavě přímo kolem orelského fotbalového stadionu, florbalového hřiště a tenisových kurtů</w:t>
      </w:r>
      <w:r w:rsidR="00427195">
        <w:rPr>
          <w:rFonts w:asciiTheme="minorHAnsi" w:hAnsiTheme="minorHAnsi" w:cstheme="minorHAnsi"/>
        </w:rPr>
        <w:t>. Tyto objekty</w:t>
      </w:r>
      <w:r w:rsidR="00854129">
        <w:rPr>
          <w:rFonts w:asciiTheme="minorHAnsi" w:hAnsiTheme="minorHAnsi" w:cstheme="minorHAnsi"/>
        </w:rPr>
        <w:t xml:space="preserve"> jsou nově zpřístupněny i ze strany od cyklostezky</w:t>
      </w:r>
      <w:r w:rsidRPr="00A74DB1">
        <w:rPr>
          <w:rFonts w:asciiTheme="minorHAnsi" w:hAnsiTheme="minorHAnsi" w:cstheme="minorHAnsi"/>
        </w:rPr>
        <w:t>. Řeku Olšavu překonává</w:t>
      </w:r>
      <w:r w:rsidR="00427195">
        <w:rPr>
          <w:rFonts w:asciiTheme="minorHAnsi" w:hAnsiTheme="minorHAnsi" w:cstheme="minorHAnsi"/>
        </w:rPr>
        <w:t>me</w:t>
      </w:r>
      <w:r w:rsidRPr="00A74DB1">
        <w:rPr>
          <w:rFonts w:asciiTheme="minorHAnsi" w:hAnsiTheme="minorHAnsi" w:cstheme="minorHAnsi"/>
        </w:rPr>
        <w:t xml:space="preserve"> po první lávce. Za řekou je provedeno napojení (přeložka) stávající polní cesty. Cyklostezka dále vede přes cíp volné krajiny, druhou téměř identickou lávkou překonává státní silnici I/50 a končí vyústěním na ulici Dělnická na sídlišti Olšava. </w:t>
      </w:r>
      <w:r w:rsidR="00D64786" w:rsidRPr="00D64786">
        <w:rPr>
          <w:rFonts w:asciiTheme="minorHAnsi" w:hAnsiTheme="minorHAnsi" w:cstheme="minorHAnsi"/>
        </w:rPr>
        <w:t xml:space="preserve">Zde jsou chodci pomocí místa pro přecházení s doplněním pěší trasy navedeni na síť chodníků na sídlišti. Cyklisté využijí místní komunikace v návaznosti na  již dříve zrealizovanou cyklistickou stezku Uherský Brod </w:t>
      </w:r>
      <w:r w:rsidR="00D64786">
        <w:rPr>
          <w:rFonts w:asciiTheme="minorHAnsi" w:hAnsiTheme="minorHAnsi" w:cstheme="minorHAnsi"/>
        </w:rPr>
        <w:t>–</w:t>
      </w:r>
      <w:r w:rsidR="00D64786" w:rsidRPr="00D64786">
        <w:rPr>
          <w:rFonts w:asciiTheme="minorHAnsi" w:hAnsiTheme="minorHAnsi" w:cstheme="minorHAnsi"/>
        </w:rPr>
        <w:t xml:space="preserve"> Nivnice</w:t>
      </w:r>
      <w:r w:rsidR="00D64786">
        <w:rPr>
          <w:rFonts w:asciiTheme="minorHAnsi" w:hAnsiTheme="minorHAnsi" w:cstheme="minorHAnsi"/>
        </w:rPr>
        <w:t xml:space="preserve">. </w:t>
      </w:r>
      <w:r w:rsidRPr="00A74DB1">
        <w:rPr>
          <w:rFonts w:asciiTheme="minorHAnsi" w:hAnsiTheme="minorHAnsi" w:cstheme="minorHAnsi"/>
        </w:rPr>
        <w:t>Celá trasa je osvětlená.</w:t>
      </w:r>
      <w:r w:rsidR="00D64786">
        <w:rPr>
          <w:rFonts w:asciiTheme="minorHAnsi" w:hAnsiTheme="minorHAnsi" w:cstheme="minorHAnsi"/>
        </w:rPr>
        <w:t xml:space="preserve"> Součástí realizace jsou 2 odpočivadla a výsadba zeleně.</w:t>
      </w:r>
    </w:p>
    <w:p w14:paraId="62136B7C" w14:textId="77777777" w:rsidR="007F60E1" w:rsidRPr="00041C0E" w:rsidRDefault="007F60E1" w:rsidP="007F60E1">
      <w:pPr>
        <w:pStyle w:val="Default"/>
        <w:ind w:left="1260"/>
        <w:rPr>
          <w:rStyle w:val="apple-converted-space"/>
          <w:rFonts w:asciiTheme="minorHAnsi" w:hAnsiTheme="minorHAnsi" w:cstheme="minorHAnsi"/>
        </w:rPr>
      </w:pPr>
    </w:p>
    <w:p w14:paraId="740792A5" w14:textId="77777777" w:rsidR="00F66867" w:rsidRPr="00EC01FA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apple-converted-space"/>
          <w:rFonts w:asciiTheme="minorHAnsi" w:hAnsiTheme="minorHAnsi" w:cstheme="minorHAnsi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Stavebně-technické řešení (použité řešení, originalita)</w:t>
      </w:r>
      <w:r w:rsidRPr="00041C0E">
        <w:rPr>
          <w:rStyle w:val="apple-converted-space"/>
          <w:rFonts w:asciiTheme="minorHAnsi" w:hAnsiTheme="minorHAnsi" w:cstheme="minorHAnsi"/>
          <w:shd w:val="clear" w:color="auto" w:fill="FFFFFF"/>
        </w:rPr>
        <w:t> </w:t>
      </w:r>
    </w:p>
    <w:p w14:paraId="336E67E6" w14:textId="77777777" w:rsidR="00EC01FA" w:rsidRPr="00EC01FA" w:rsidRDefault="00EC01FA" w:rsidP="00EC01FA">
      <w:pPr>
        <w:pStyle w:val="Default"/>
        <w:ind w:left="1260"/>
        <w:rPr>
          <w:rStyle w:val="apple-converted-space"/>
          <w:rFonts w:asciiTheme="minorHAnsi" w:hAnsiTheme="minorHAnsi" w:cstheme="minorHAnsi"/>
          <w:sz w:val="10"/>
          <w:szCs w:val="10"/>
        </w:rPr>
      </w:pPr>
    </w:p>
    <w:p w14:paraId="3693F856" w14:textId="7F2267B5" w:rsidR="00113D6B" w:rsidRDefault="00113D6B" w:rsidP="00550D09">
      <w:pPr>
        <w:pStyle w:val="Default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V projektu jsou zajímavě řešené </w:t>
      </w:r>
      <w:r w:rsidR="006F2570">
        <w:rPr>
          <w:rFonts w:asciiTheme="minorHAnsi" w:hAnsiTheme="minorHAnsi" w:cstheme="minorHAnsi"/>
        </w:rPr>
        <w:t xml:space="preserve">vlastní </w:t>
      </w:r>
      <w:r>
        <w:rPr>
          <w:rFonts w:asciiTheme="minorHAnsi" w:hAnsiTheme="minorHAnsi" w:cstheme="minorHAnsi"/>
        </w:rPr>
        <w:t>l</w:t>
      </w:r>
      <w:r w:rsidRPr="005F0209">
        <w:rPr>
          <w:rFonts w:asciiTheme="minorHAnsi" w:hAnsiTheme="minorHAnsi" w:cstheme="minorHAnsi"/>
        </w:rPr>
        <w:t>ávky</w:t>
      </w:r>
      <w:r>
        <w:rPr>
          <w:rFonts w:asciiTheme="minorHAnsi" w:hAnsiTheme="minorHAnsi" w:cstheme="minorHAnsi"/>
        </w:rPr>
        <w:t xml:space="preserve">, které </w:t>
      </w:r>
      <w:r w:rsidRPr="005F0209">
        <w:rPr>
          <w:rFonts w:asciiTheme="minorHAnsi" w:hAnsiTheme="minorHAnsi" w:cstheme="minorHAnsi"/>
        </w:rPr>
        <w:t>tvoří zavěšená ocelová konstrukce s dolní ocelovou mostovkou a ocelovým pylonem.</w:t>
      </w:r>
      <w:r>
        <w:rPr>
          <w:rFonts w:asciiTheme="minorHAnsi" w:hAnsiTheme="minorHAnsi" w:cstheme="minorHAnsi"/>
        </w:rPr>
        <w:t xml:space="preserve">  </w:t>
      </w:r>
    </w:p>
    <w:p w14:paraId="0FEFDC28" w14:textId="4463D879" w:rsidR="00550D09" w:rsidRPr="00550D09" w:rsidRDefault="00550D09" w:rsidP="00550D09">
      <w:pPr>
        <w:pStyle w:val="Default"/>
        <w:ind w:left="1080"/>
        <w:jc w:val="both"/>
        <w:rPr>
          <w:rFonts w:asciiTheme="minorHAnsi" w:hAnsiTheme="minorHAnsi" w:cstheme="minorHAnsi"/>
        </w:rPr>
      </w:pPr>
      <w:proofErr w:type="spellStart"/>
      <w:r w:rsidRPr="00550D09">
        <w:rPr>
          <w:rFonts w:asciiTheme="minorHAnsi" w:hAnsiTheme="minorHAnsi" w:cstheme="minorHAnsi"/>
        </w:rPr>
        <w:t>Všezvěd</w:t>
      </w:r>
      <w:proofErr w:type="spellEnd"/>
      <w:r w:rsidRPr="00550D09">
        <w:rPr>
          <w:rFonts w:asciiTheme="minorHAnsi" w:hAnsiTheme="minorHAnsi" w:cstheme="minorHAnsi"/>
        </w:rPr>
        <w:t xml:space="preserve"> </w:t>
      </w:r>
      <w:r w:rsidR="006F2570">
        <w:rPr>
          <w:rFonts w:asciiTheme="minorHAnsi" w:hAnsiTheme="minorHAnsi" w:cstheme="minorHAnsi"/>
        </w:rPr>
        <w:t>(l</w:t>
      </w:r>
      <w:r w:rsidRPr="00550D09">
        <w:rPr>
          <w:rFonts w:asciiTheme="minorHAnsi" w:hAnsiTheme="minorHAnsi" w:cstheme="minorHAnsi"/>
        </w:rPr>
        <w:t>ávka přes řeku Olšav</w:t>
      </w:r>
      <w:r w:rsidR="00EC01FA">
        <w:rPr>
          <w:rFonts w:asciiTheme="minorHAnsi" w:hAnsiTheme="minorHAnsi" w:cstheme="minorHAnsi"/>
        </w:rPr>
        <w:t xml:space="preserve">u) </w:t>
      </w:r>
      <w:r w:rsidRPr="00550D09">
        <w:rPr>
          <w:rFonts w:asciiTheme="minorHAnsi" w:hAnsiTheme="minorHAnsi" w:cstheme="minorHAnsi"/>
        </w:rPr>
        <w:t>je zavěšená</w:t>
      </w:r>
      <w:r w:rsidR="00EC01FA">
        <w:rPr>
          <w:rFonts w:asciiTheme="minorHAnsi" w:hAnsiTheme="minorHAnsi" w:cstheme="minorHAnsi"/>
        </w:rPr>
        <w:t xml:space="preserve"> </w:t>
      </w:r>
      <w:r w:rsidRPr="00550D09">
        <w:rPr>
          <w:rFonts w:asciiTheme="minorHAnsi" w:hAnsiTheme="minorHAnsi" w:cstheme="minorHAnsi"/>
        </w:rPr>
        <w:t>o čtyřech polích s rozpětím 13 m. Délka</w:t>
      </w:r>
      <w:r w:rsidR="00EC01FA">
        <w:rPr>
          <w:rFonts w:asciiTheme="minorHAnsi" w:hAnsiTheme="minorHAnsi" w:cstheme="minorHAnsi"/>
        </w:rPr>
        <w:t xml:space="preserve"> </w:t>
      </w:r>
      <w:r w:rsidRPr="00550D09">
        <w:rPr>
          <w:rFonts w:asciiTheme="minorHAnsi" w:hAnsiTheme="minorHAnsi" w:cstheme="minorHAnsi"/>
        </w:rPr>
        <w:t>lávky je 52 m.</w:t>
      </w:r>
      <w:r w:rsidR="00EC01FA">
        <w:rPr>
          <w:rFonts w:asciiTheme="minorHAnsi" w:hAnsiTheme="minorHAnsi" w:cstheme="minorHAnsi"/>
        </w:rPr>
        <w:t xml:space="preserve"> </w:t>
      </w:r>
      <w:r w:rsidRPr="00550D09">
        <w:rPr>
          <w:rFonts w:asciiTheme="minorHAnsi" w:hAnsiTheme="minorHAnsi" w:cstheme="minorHAnsi"/>
        </w:rPr>
        <w:t>Výška konstrukce nad hladinou</w:t>
      </w:r>
      <w:r w:rsidR="006F2570">
        <w:rPr>
          <w:rFonts w:asciiTheme="minorHAnsi" w:hAnsiTheme="minorHAnsi" w:cstheme="minorHAnsi"/>
        </w:rPr>
        <w:t xml:space="preserve"> řeky</w:t>
      </w:r>
      <w:r w:rsidRPr="00550D09">
        <w:rPr>
          <w:rFonts w:asciiTheme="minorHAnsi" w:hAnsiTheme="minorHAnsi" w:cstheme="minorHAnsi"/>
        </w:rPr>
        <w:t xml:space="preserve"> je</w:t>
      </w:r>
      <w:r w:rsidR="00EC01FA">
        <w:rPr>
          <w:rFonts w:asciiTheme="minorHAnsi" w:hAnsiTheme="minorHAnsi" w:cstheme="minorHAnsi"/>
        </w:rPr>
        <w:t xml:space="preserve"> </w:t>
      </w:r>
      <w:r w:rsidRPr="00550D09">
        <w:rPr>
          <w:rFonts w:asciiTheme="minorHAnsi" w:hAnsiTheme="minorHAnsi" w:cstheme="minorHAnsi"/>
        </w:rPr>
        <w:t>7,7 m.</w:t>
      </w:r>
      <w:r w:rsidR="00EC01FA">
        <w:rPr>
          <w:rFonts w:asciiTheme="minorHAnsi" w:hAnsiTheme="minorHAnsi" w:cstheme="minorHAnsi"/>
        </w:rPr>
        <w:t xml:space="preserve"> </w:t>
      </w:r>
      <w:r w:rsidRPr="00550D09">
        <w:rPr>
          <w:rFonts w:asciiTheme="minorHAnsi" w:hAnsiTheme="minorHAnsi" w:cstheme="minorHAnsi"/>
        </w:rPr>
        <w:t>Na pravém břehu řeky Olšavy je</w:t>
      </w:r>
      <w:r w:rsidR="00EC01FA">
        <w:rPr>
          <w:rFonts w:asciiTheme="minorHAnsi" w:hAnsiTheme="minorHAnsi" w:cstheme="minorHAnsi"/>
        </w:rPr>
        <w:t xml:space="preserve"> </w:t>
      </w:r>
      <w:r w:rsidRPr="00550D09">
        <w:rPr>
          <w:rFonts w:asciiTheme="minorHAnsi" w:hAnsiTheme="minorHAnsi" w:cstheme="minorHAnsi"/>
        </w:rPr>
        <w:t>umístěn pylon s celkovou výškou</w:t>
      </w:r>
      <w:r w:rsidR="00EC01FA">
        <w:rPr>
          <w:rFonts w:asciiTheme="minorHAnsi" w:hAnsiTheme="minorHAnsi" w:cstheme="minorHAnsi"/>
        </w:rPr>
        <w:t xml:space="preserve"> </w:t>
      </w:r>
      <w:r w:rsidRPr="00550D09">
        <w:rPr>
          <w:rFonts w:asciiTheme="minorHAnsi" w:hAnsiTheme="minorHAnsi" w:cstheme="minorHAnsi"/>
        </w:rPr>
        <w:t>17,5 m. Na vrcholu pylonu jsou upnutá</w:t>
      </w:r>
      <w:r w:rsidR="00EC01FA">
        <w:rPr>
          <w:rFonts w:asciiTheme="minorHAnsi" w:hAnsiTheme="minorHAnsi" w:cstheme="minorHAnsi"/>
        </w:rPr>
        <w:t xml:space="preserve"> </w:t>
      </w:r>
      <w:r w:rsidRPr="00550D09">
        <w:rPr>
          <w:rFonts w:asciiTheme="minorHAnsi" w:hAnsiTheme="minorHAnsi" w:cstheme="minorHAnsi"/>
        </w:rPr>
        <w:t>závěsná ocelová lana.</w:t>
      </w:r>
    </w:p>
    <w:p w14:paraId="1EE53F0B" w14:textId="77777777" w:rsidR="006F2570" w:rsidRDefault="00EC01FA" w:rsidP="00565C16">
      <w:pPr>
        <w:pStyle w:val="Default"/>
        <w:ind w:left="108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Všudybud</w:t>
      </w:r>
      <w:proofErr w:type="spellEnd"/>
      <w:r>
        <w:rPr>
          <w:rFonts w:asciiTheme="minorHAnsi" w:hAnsiTheme="minorHAnsi" w:cstheme="minorHAnsi"/>
        </w:rPr>
        <w:t xml:space="preserve"> (</w:t>
      </w:r>
      <w:r w:rsidR="00550D09" w:rsidRPr="00550D09">
        <w:rPr>
          <w:rFonts w:asciiTheme="minorHAnsi" w:hAnsiTheme="minorHAnsi" w:cstheme="minorHAnsi"/>
        </w:rPr>
        <w:t>lávka přes silnici I/50</w:t>
      </w:r>
      <w:r>
        <w:rPr>
          <w:rFonts w:asciiTheme="minorHAnsi" w:hAnsiTheme="minorHAnsi" w:cstheme="minorHAnsi"/>
        </w:rPr>
        <w:t>)</w:t>
      </w:r>
      <w:r w:rsidR="00550D09" w:rsidRPr="00550D09">
        <w:rPr>
          <w:rFonts w:asciiTheme="minorHAnsi" w:hAnsiTheme="minorHAnsi" w:cstheme="minorHAnsi"/>
        </w:rPr>
        <w:t xml:space="preserve"> je zavěšená</w:t>
      </w:r>
      <w:r>
        <w:rPr>
          <w:rFonts w:asciiTheme="minorHAnsi" w:hAnsiTheme="minorHAnsi" w:cstheme="minorHAnsi"/>
        </w:rPr>
        <w:t xml:space="preserve"> </w:t>
      </w:r>
      <w:r w:rsidR="00550D09" w:rsidRPr="00550D09">
        <w:rPr>
          <w:rFonts w:asciiTheme="minorHAnsi" w:hAnsiTheme="minorHAnsi" w:cstheme="minorHAnsi"/>
        </w:rPr>
        <w:t>o dvou polích s rozpětím 13 a 48 m.</w:t>
      </w:r>
      <w:r>
        <w:rPr>
          <w:rFonts w:asciiTheme="minorHAnsi" w:hAnsiTheme="minorHAnsi" w:cstheme="minorHAnsi"/>
        </w:rPr>
        <w:t xml:space="preserve"> </w:t>
      </w:r>
      <w:r w:rsidR="00550D09" w:rsidRPr="00550D09">
        <w:rPr>
          <w:rFonts w:asciiTheme="minorHAnsi" w:hAnsiTheme="minorHAnsi" w:cstheme="minorHAnsi"/>
        </w:rPr>
        <w:t>Výsledná délka nosné konstrukce lávky</w:t>
      </w:r>
      <w:r>
        <w:rPr>
          <w:rFonts w:asciiTheme="minorHAnsi" w:hAnsiTheme="minorHAnsi" w:cstheme="minorHAnsi"/>
        </w:rPr>
        <w:t xml:space="preserve"> </w:t>
      </w:r>
      <w:r w:rsidR="00550D09" w:rsidRPr="00550D09">
        <w:rPr>
          <w:rFonts w:asciiTheme="minorHAnsi" w:hAnsiTheme="minorHAnsi" w:cstheme="minorHAnsi"/>
        </w:rPr>
        <w:t>je 62 m.</w:t>
      </w:r>
      <w:r w:rsidR="006F2570">
        <w:rPr>
          <w:rFonts w:asciiTheme="minorHAnsi" w:hAnsiTheme="minorHAnsi" w:cstheme="minorHAnsi"/>
        </w:rPr>
        <w:t xml:space="preserve"> </w:t>
      </w:r>
      <w:r w:rsidR="00550D09" w:rsidRPr="00550D09">
        <w:rPr>
          <w:rFonts w:asciiTheme="minorHAnsi" w:hAnsiTheme="minorHAnsi" w:cstheme="minorHAnsi"/>
        </w:rPr>
        <w:t>Pylon je umístěn na straně sídliště</w:t>
      </w:r>
      <w:r>
        <w:rPr>
          <w:rFonts w:asciiTheme="minorHAnsi" w:hAnsiTheme="minorHAnsi" w:cstheme="minorHAnsi"/>
        </w:rPr>
        <w:t xml:space="preserve"> </w:t>
      </w:r>
      <w:r w:rsidR="00550D09" w:rsidRPr="00550D09">
        <w:rPr>
          <w:rFonts w:asciiTheme="minorHAnsi" w:hAnsiTheme="minorHAnsi" w:cstheme="minorHAnsi"/>
        </w:rPr>
        <w:t>Olšava. Tvar brány je realizován ze</w:t>
      </w:r>
      <w:r>
        <w:rPr>
          <w:rFonts w:asciiTheme="minorHAnsi" w:hAnsiTheme="minorHAnsi" w:cstheme="minorHAnsi"/>
        </w:rPr>
        <w:t xml:space="preserve"> </w:t>
      </w:r>
      <w:r w:rsidR="00550D09" w:rsidRPr="00550D09">
        <w:rPr>
          <w:rFonts w:asciiTheme="minorHAnsi" w:hAnsiTheme="minorHAnsi" w:cstheme="minorHAnsi"/>
        </w:rPr>
        <w:t>dvou ocelových stojek spojených</w:t>
      </w:r>
      <w:r>
        <w:rPr>
          <w:rFonts w:asciiTheme="minorHAnsi" w:hAnsiTheme="minorHAnsi" w:cstheme="minorHAnsi"/>
        </w:rPr>
        <w:t xml:space="preserve"> </w:t>
      </w:r>
      <w:r w:rsidR="00550D09" w:rsidRPr="00550D09">
        <w:rPr>
          <w:rFonts w:asciiTheme="minorHAnsi" w:hAnsiTheme="minorHAnsi" w:cstheme="minorHAnsi"/>
        </w:rPr>
        <w:t>nahoře i dole.</w:t>
      </w:r>
      <w:r w:rsidR="00565C16">
        <w:rPr>
          <w:rFonts w:asciiTheme="minorHAnsi" w:hAnsiTheme="minorHAnsi" w:cstheme="minorHAnsi"/>
        </w:rPr>
        <w:t xml:space="preserve"> </w:t>
      </w:r>
      <w:r w:rsidR="00550D09" w:rsidRPr="00550D09">
        <w:rPr>
          <w:rFonts w:asciiTheme="minorHAnsi" w:hAnsiTheme="minorHAnsi" w:cstheme="minorHAnsi"/>
        </w:rPr>
        <w:t>Osová vzdálenost stojek je 4,8 m.</w:t>
      </w:r>
      <w:r w:rsidR="00565C16">
        <w:rPr>
          <w:rFonts w:asciiTheme="minorHAnsi" w:hAnsiTheme="minorHAnsi" w:cstheme="minorHAnsi"/>
        </w:rPr>
        <w:t xml:space="preserve"> </w:t>
      </w:r>
      <w:r w:rsidR="00550D09" w:rsidRPr="00550D09">
        <w:rPr>
          <w:rFonts w:asciiTheme="minorHAnsi" w:hAnsiTheme="minorHAnsi" w:cstheme="minorHAnsi"/>
        </w:rPr>
        <w:t>Celková výška pylonu je 17,5 m.</w:t>
      </w:r>
      <w:r w:rsidR="00565C16">
        <w:rPr>
          <w:rFonts w:asciiTheme="minorHAnsi" w:hAnsiTheme="minorHAnsi" w:cstheme="minorHAnsi"/>
        </w:rPr>
        <w:t xml:space="preserve"> </w:t>
      </w:r>
    </w:p>
    <w:p w14:paraId="4DAF8E7C" w14:textId="0A8786C2" w:rsidR="00A964C7" w:rsidRDefault="00565C16" w:rsidP="00565C16">
      <w:pPr>
        <w:pStyle w:val="Default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A964C7" w:rsidRPr="00A964C7">
        <w:rPr>
          <w:rFonts w:asciiTheme="minorHAnsi" w:hAnsiTheme="minorHAnsi" w:cstheme="minorHAnsi"/>
        </w:rPr>
        <w:t>ýroba kovov</w:t>
      </w:r>
      <w:r w:rsidR="00A964C7">
        <w:rPr>
          <w:rFonts w:asciiTheme="minorHAnsi" w:hAnsiTheme="minorHAnsi" w:cstheme="minorHAnsi"/>
        </w:rPr>
        <w:t xml:space="preserve">é konstrukce </w:t>
      </w:r>
      <w:r w:rsidR="006F2570">
        <w:rPr>
          <w:rFonts w:asciiTheme="minorHAnsi" w:hAnsiTheme="minorHAnsi" w:cstheme="minorHAnsi"/>
        </w:rPr>
        <w:t>obou lávek</w:t>
      </w:r>
      <w:r w:rsidR="00A964C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probíhala vždy během zimních měsíců </w:t>
      </w:r>
      <w:r w:rsidR="00A964C7">
        <w:rPr>
          <w:rFonts w:asciiTheme="minorHAnsi" w:hAnsiTheme="minorHAnsi" w:cstheme="minorHAnsi"/>
        </w:rPr>
        <w:t>v OK </w:t>
      </w:r>
      <w:r w:rsidR="00A964C7" w:rsidRPr="00A964C7">
        <w:rPr>
          <w:rFonts w:asciiTheme="minorHAnsi" w:hAnsiTheme="minorHAnsi" w:cstheme="minorHAnsi"/>
        </w:rPr>
        <w:t>Třebestovice, a. s.</w:t>
      </w:r>
    </w:p>
    <w:p w14:paraId="37908DF9" w14:textId="626A5903" w:rsidR="00BC6342" w:rsidRDefault="00BC6342" w:rsidP="00565C16">
      <w:pPr>
        <w:pStyle w:val="Default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Osvětlení lávky je provedeno netradičně v madle zábradlí.</w:t>
      </w:r>
    </w:p>
    <w:p w14:paraId="0327A953" w14:textId="395D9FAB" w:rsidR="00854129" w:rsidRPr="00A964C7" w:rsidRDefault="00854129" w:rsidP="00565C16">
      <w:pPr>
        <w:pStyle w:val="Default"/>
        <w:ind w:left="1080"/>
        <w:jc w:val="both"/>
      </w:pPr>
      <w:r>
        <w:rPr>
          <w:rFonts w:asciiTheme="minorHAnsi" w:hAnsiTheme="minorHAnsi" w:cstheme="minorHAnsi"/>
        </w:rPr>
        <w:t>Bránami vznikají velmi zajímavé průhledy na dominanty města</w:t>
      </w:r>
      <w:r w:rsidR="00BC6342">
        <w:rPr>
          <w:rFonts w:asciiTheme="minorHAnsi" w:hAnsiTheme="minorHAnsi" w:cstheme="minorHAnsi"/>
        </w:rPr>
        <w:t xml:space="preserve">, věže historických objektů </w:t>
      </w:r>
      <w:r w:rsidR="00427195">
        <w:rPr>
          <w:rFonts w:asciiTheme="minorHAnsi" w:hAnsiTheme="minorHAnsi" w:cstheme="minorHAnsi"/>
        </w:rPr>
        <w:t>M</w:t>
      </w:r>
      <w:r w:rsidR="00BC6342">
        <w:rPr>
          <w:rFonts w:asciiTheme="minorHAnsi" w:hAnsiTheme="minorHAnsi" w:cstheme="minorHAnsi"/>
        </w:rPr>
        <w:t>ěstské památkové zóny</w:t>
      </w:r>
      <w:r w:rsidR="00427195">
        <w:rPr>
          <w:rFonts w:asciiTheme="minorHAnsi" w:hAnsiTheme="minorHAnsi" w:cstheme="minorHAnsi"/>
        </w:rPr>
        <w:t xml:space="preserve"> Uherský Brod</w:t>
      </w:r>
      <w:r w:rsidR="00BC6342">
        <w:rPr>
          <w:rFonts w:asciiTheme="minorHAnsi" w:hAnsiTheme="minorHAnsi" w:cstheme="minorHAnsi"/>
        </w:rPr>
        <w:t>.</w:t>
      </w:r>
    </w:p>
    <w:p w14:paraId="1E0F6E08" w14:textId="77777777" w:rsidR="007F60E1" w:rsidRPr="00041C0E" w:rsidRDefault="007F60E1" w:rsidP="007F60E1">
      <w:pPr>
        <w:pStyle w:val="Default"/>
        <w:ind w:left="1260"/>
        <w:rPr>
          <w:rStyle w:val="apple-converted-space"/>
          <w:rFonts w:asciiTheme="minorHAnsi" w:hAnsiTheme="minorHAnsi" w:cstheme="minorHAnsi"/>
        </w:rPr>
      </w:pPr>
    </w:p>
    <w:p w14:paraId="09CD2A8E" w14:textId="77777777" w:rsidR="00B348A7" w:rsidRPr="00B348A7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Udržitelnost stavby (</w:t>
      </w:r>
      <w:r w:rsidRPr="00427195">
        <w:rPr>
          <w:rStyle w:val="Siln"/>
          <w:rFonts w:asciiTheme="minorHAnsi" w:hAnsiTheme="minorHAnsi" w:cstheme="minorHAnsi"/>
          <w:b w:val="0"/>
          <w:bCs w:val="0"/>
          <w:color w:val="auto"/>
          <w:shd w:val="clear" w:color="auto" w:fill="FFFFFF"/>
        </w:rPr>
        <w:t xml:space="preserve">náklady </w:t>
      </w: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spojené s provozem, údržba)</w:t>
      </w:r>
    </w:p>
    <w:p w14:paraId="3C3AF404" w14:textId="77777777" w:rsidR="00B348A7" w:rsidRPr="00B348A7" w:rsidRDefault="00B348A7" w:rsidP="00B348A7">
      <w:pPr>
        <w:pStyle w:val="Default"/>
        <w:ind w:left="1260"/>
        <w:rPr>
          <w:rStyle w:val="Siln"/>
          <w:rFonts w:asciiTheme="minorHAnsi" w:hAnsiTheme="minorHAnsi" w:cstheme="minorHAnsi"/>
          <w:b w:val="0"/>
          <w:bCs w:val="0"/>
          <w:sz w:val="10"/>
          <w:szCs w:val="10"/>
        </w:rPr>
      </w:pPr>
    </w:p>
    <w:p w14:paraId="4C131519" w14:textId="57C33444" w:rsidR="00B348A7" w:rsidRDefault="00B348A7" w:rsidP="00B348A7">
      <w:pPr>
        <w:pStyle w:val="Default"/>
        <w:ind w:left="1080"/>
        <w:jc w:val="both"/>
        <w:rPr>
          <w:rFonts w:asciiTheme="minorHAnsi" w:hAnsiTheme="minorHAnsi" w:cstheme="minorHAnsi"/>
        </w:rPr>
      </w:pPr>
      <w:r w:rsidRPr="00B348A7">
        <w:rPr>
          <w:rFonts w:asciiTheme="minorHAnsi" w:hAnsiTheme="minorHAnsi" w:cstheme="minorHAnsi"/>
        </w:rPr>
        <w:t xml:space="preserve">Za údržbu </w:t>
      </w:r>
      <w:r>
        <w:rPr>
          <w:rFonts w:asciiTheme="minorHAnsi" w:hAnsiTheme="minorHAnsi" w:cstheme="minorHAnsi"/>
        </w:rPr>
        <w:t>realizovaného projektu zodpovídá</w:t>
      </w:r>
      <w:r w:rsidRPr="00B348A7">
        <w:rPr>
          <w:rFonts w:asciiTheme="minorHAnsi" w:hAnsiTheme="minorHAnsi" w:cstheme="minorHAnsi"/>
        </w:rPr>
        <w:t xml:space="preserve"> správce</w:t>
      </w:r>
      <w:r>
        <w:rPr>
          <w:rFonts w:asciiTheme="minorHAnsi" w:hAnsiTheme="minorHAnsi" w:cstheme="minorHAnsi"/>
        </w:rPr>
        <w:t>, kterým jsou TSUB, příspěvková organizace města</w:t>
      </w:r>
      <w:r w:rsidRPr="00B348A7">
        <w:rPr>
          <w:rFonts w:asciiTheme="minorHAnsi" w:hAnsiTheme="minorHAnsi" w:cstheme="minorHAnsi"/>
        </w:rPr>
        <w:t xml:space="preserve">. </w:t>
      </w:r>
      <w:r w:rsidR="00E14F72">
        <w:rPr>
          <w:rFonts w:asciiTheme="minorHAnsi" w:hAnsiTheme="minorHAnsi" w:cstheme="minorHAnsi"/>
        </w:rPr>
        <w:t>Na údržbu je zpracován harmonogram nejen v rámci kalendářního roku, ale i v letech (jedná se o novostavbu, některé úkony údržby se teprve začnou provádět</w:t>
      </w:r>
      <w:r w:rsidR="00427195">
        <w:rPr>
          <w:rFonts w:asciiTheme="minorHAnsi" w:hAnsiTheme="minorHAnsi" w:cstheme="minorHAnsi"/>
        </w:rPr>
        <w:t>)</w:t>
      </w:r>
      <w:r w:rsidR="00E14F72">
        <w:rPr>
          <w:rFonts w:asciiTheme="minorHAnsi" w:hAnsiTheme="minorHAnsi" w:cstheme="minorHAnsi"/>
        </w:rPr>
        <w:t>.</w:t>
      </w:r>
    </w:p>
    <w:p w14:paraId="200D146A" w14:textId="012B6671" w:rsidR="00B348A7" w:rsidRDefault="00B348A7" w:rsidP="00B348A7">
      <w:pPr>
        <w:pStyle w:val="Default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 obou lávek </w:t>
      </w:r>
      <w:r w:rsidR="00E14F72">
        <w:rPr>
          <w:rFonts w:asciiTheme="minorHAnsi" w:hAnsiTheme="minorHAnsi" w:cstheme="minorHAnsi"/>
        </w:rPr>
        <w:t>je v rámci údržby naplánováno</w:t>
      </w:r>
      <w:r>
        <w:rPr>
          <w:rFonts w:asciiTheme="minorHAnsi" w:hAnsiTheme="minorHAnsi" w:cstheme="minorHAnsi"/>
        </w:rPr>
        <w:t>:</w:t>
      </w:r>
    </w:p>
    <w:p w14:paraId="7204C44E" w14:textId="307FAFA1" w:rsidR="00B348A7" w:rsidRDefault="00B348A7" w:rsidP="00B348A7">
      <w:pPr>
        <w:pStyle w:val="Default"/>
        <w:numPr>
          <w:ilvl w:val="3"/>
          <w:numId w:val="10"/>
        </w:numPr>
        <w:ind w:left="1418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B348A7">
        <w:rPr>
          <w:rFonts w:asciiTheme="minorHAnsi" w:hAnsiTheme="minorHAnsi" w:cstheme="minorHAnsi"/>
        </w:rPr>
        <w:t>ravidelné čištění čepových spojů kyvných stojek</w:t>
      </w:r>
      <w:r>
        <w:rPr>
          <w:rFonts w:asciiTheme="minorHAnsi" w:hAnsiTheme="minorHAnsi" w:cstheme="minorHAnsi"/>
        </w:rPr>
        <w:t xml:space="preserve">, </w:t>
      </w:r>
    </w:p>
    <w:p w14:paraId="5679B00B" w14:textId="67EA04E4" w:rsidR="00B348A7" w:rsidRPr="00B348A7" w:rsidRDefault="00B348A7" w:rsidP="00B348A7">
      <w:pPr>
        <w:pStyle w:val="Default"/>
        <w:numPr>
          <w:ilvl w:val="3"/>
          <w:numId w:val="10"/>
        </w:numPr>
        <w:ind w:left="1418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</w:t>
      </w:r>
      <w:r w:rsidRPr="00B348A7">
        <w:rPr>
          <w:rFonts w:asciiTheme="minorHAnsi" w:hAnsiTheme="minorHAnsi" w:cstheme="minorHAnsi"/>
        </w:rPr>
        <w:t>ištění mostních dilatačních závěrů</w:t>
      </w:r>
    </w:p>
    <w:p w14:paraId="15637801" w14:textId="17CA82A3" w:rsidR="00B348A7" w:rsidRPr="00B348A7" w:rsidRDefault="00B348A7" w:rsidP="00B348A7">
      <w:pPr>
        <w:pStyle w:val="Default"/>
        <w:numPr>
          <w:ilvl w:val="3"/>
          <w:numId w:val="10"/>
        </w:numPr>
        <w:ind w:left="1418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</w:t>
      </w:r>
      <w:r w:rsidRPr="00B348A7">
        <w:rPr>
          <w:rFonts w:asciiTheme="minorHAnsi" w:hAnsiTheme="minorHAnsi" w:cstheme="minorHAnsi"/>
        </w:rPr>
        <w:t>ištění všech míst na ocelové mostní konstrukci, kde se udržuje nečistota</w:t>
      </w:r>
    </w:p>
    <w:p w14:paraId="23FF8852" w14:textId="4F025898" w:rsidR="00B348A7" w:rsidRPr="00B348A7" w:rsidRDefault="00B348A7" w:rsidP="00B348A7">
      <w:pPr>
        <w:pStyle w:val="Default"/>
        <w:numPr>
          <w:ilvl w:val="3"/>
          <w:numId w:val="10"/>
        </w:numPr>
        <w:ind w:left="1418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B348A7">
        <w:rPr>
          <w:rFonts w:asciiTheme="minorHAnsi" w:hAnsiTheme="minorHAnsi" w:cstheme="minorHAnsi"/>
        </w:rPr>
        <w:t>čištění mostu od posypových prostředků po zimním období</w:t>
      </w:r>
    </w:p>
    <w:p w14:paraId="1D1D6FFB" w14:textId="280D8D98" w:rsidR="00B348A7" w:rsidRPr="00B348A7" w:rsidRDefault="00B348A7" w:rsidP="00B348A7">
      <w:pPr>
        <w:pStyle w:val="Default"/>
        <w:numPr>
          <w:ilvl w:val="3"/>
          <w:numId w:val="10"/>
        </w:numPr>
        <w:ind w:left="1418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B348A7">
        <w:rPr>
          <w:rFonts w:asciiTheme="minorHAnsi" w:hAnsiTheme="minorHAnsi" w:cstheme="minorHAnsi"/>
        </w:rPr>
        <w:t>bnova nátěrů a povlaků betonových a ocelových částí mostu</w:t>
      </w:r>
    </w:p>
    <w:p w14:paraId="6191C2CB" w14:textId="3436B023" w:rsidR="00F66867" w:rsidRDefault="00B348A7" w:rsidP="00B348A7">
      <w:pPr>
        <w:pStyle w:val="Default"/>
        <w:numPr>
          <w:ilvl w:val="3"/>
          <w:numId w:val="10"/>
        </w:numPr>
        <w:ind w:left="1418" w:hanging="142"/>
        <w:jc w:val="both"/>
        <w:rPr>
          <w:rFonts w:asciiTheme="minorHAnsi" w:hAnsiTheme="minorHAnsi" w:cstheme="minorHAnsi"/>
        </w:rPr>
      </w:pPr>
      <w:r w:rsidRPr="00B348A7">
        <w:rPr>
          <w:rFonts w:asciiTheme="minorHAnsi" w:hAnsiTheme="minorHAnsi" w:cstheme="minorHAnsi"/>
        </w:rPr>
        <w:t xml:space="preserve">oprava nátěrů ocelových části mostu </w:t>
      </w:r>
      <w:r>
        <w:rPr>
          <w:rFonts w:asciiTheme="minorHAnsi" w:hAnsiTheme="minorHAnsi" w:cstheme="minorHAnsi"/>
        </w:rPr>
        <w:t>(</w:t>
      </w:r>
      <w:r w:rsidRPr="00B348A7">
        <w:rPr>
          <w:rFonts w:asciiTheme="minorHAnsi" w:hAnsiTheme="minorHAnsi" w:cstheme="minorHAnsi"/>
        </w:rPr>
        <w:t>podhled mostu a římsové plechy ze závěsného lešení nebo z</w:t>
      </w:r>
      <w:r>
        <w:rPr>
          <w:rFonts w:asciiTheme="minorHAnsi" w:hAnsiTheme="minorHAnsi" w:cstheme="minorHAnsi"/>
        </w:rPr>
        <w:t> </w:t>
      </w:r>
      <w:r w:rsidRPr="00B348A7">
        <w:rPr>
          <w:rFonts w:asciiTheme="minorHAnsi" w:hAnsiTheme="minorHAnsi" w:cstheme="minorHAnsi"/>
        </w:rPr>
        <w:t>terénu</w:t>
      </w:r>
      <w:r>
        <w:rPr>
          <w:rFonts w:asciiTheme="minorHAnsi" w:hAnsiTheme="minorHAnsi" w:cstheme="minorHAnsi"/>
        </w:rPr>
        <w:t xml:space="preserve">, </w:t>
      </w:r>
      <w:r w:rsidRPr="00B348A7">
        <w:rPr>
          <w:rFonts w:asciiTheme="minorHAnsi" w:hAnsiTheme="minorHAnsi" w:cstheme="minorHAnsi"/>
        </w:rPr>
        <w:t>pylon a závěsná lana pomocí jeřábu s</w:t>
      </w:r>
      <w:r>
        <w:rPr>
          <w:rFonts w:asciiTheme="minorHAnsi" w:hAnsiTheme="minorHAnsi" w:cstheme="minorHAnsi"/>
        </w:rPr>
        <w:t> </w:t>
      </w:r>
      <w:r w:rsidRPr="00B348A7">
        <w:rPr>
          <w:rFonts w:asciiTheme="minorHAnsi" w:hAnsiTheme="minorHAnsi" w:cstheme="minorHAnsi"/>
        </w:rPr>
        <w:t>košem</w:t>
      </w:r>
      <w:r>
        <w:rPr>
          <w:rFonts w:asciiTheme="minorHAnsi" w:hAnsiTheme="minorHAnsi" w:cstheme="minorHAnsi"/>
        </w:rPr>
        <w:t>)</w:t>
      </w:r>
    </w:p>
    <w:p w14:paraId="310FF7B2" w14:textId="1F0C8684" w:rsidR="007940D4" w:rsidRDefault="007940D4" w:rsidP="007940D4">
      <w:pPr>
        <w:pStyle w:val="Default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celé trase se provádí pravidelná zimní údržba, v sezónu péče o zeleň a sečení trávy na násypech, opravy nátěrů zábradlí</w:t>
      </w:r>
      <w:r w:rsidR="00E14F72">
        <w:rPr>
          <w:rFonts w:asciiTheme="minorHAnsi" w:hAnsiTheme="minorHAnsi" w:cstheme="minorHAnsi"/>
        </w:rPr>
        <w:t xml:space="preserve"> a mobiliáře</w:t>
      </w:r>
      <w:r>
        <w:rPr>
          <w:rFonts w:asciiTheme="minorHAnsi" w:hAnsiTheme="minorHAnsi" w:cstheme="minorHAnsi"/>
        </w:rPr>
        <w:t xml:space="preserve">. Nejvíce finančních prostředků je však vynakládáno na odstranění </w:t>
      </w:r>
      <w:r w:rsidR="00170805">
        <w:rPr>
          <w:rFonts w:asciiTheme="minorHAnsi" w:hAnsiTheme="minorHAnsi" w:cstheme="minorHAnsi"/>
        </w:rPr>
        <w:t>škod vzniklých vandalismem</w:t>
      </w:r>
      <w:r>
        <w:rPr>
          <w:rFonts w:asciiTheme="minorHAnsi" w:hAnsiTheme="minorHAnsi" w:cstheme="minorHAnsi"/>
        </w:rPr>
        <w:t xml:space="preserve"> (nástřiky, poškození zábradlí a elektrorozvaděčů…)</w:t>
      </w:r>
      <w:r w:rsidR="00170805">
        <w:rPr>
          <w:rFonts w:asciiTheme="minorHAnsi" w:hAnsiTheme="minorHAnsi" w:cstheme="minorHAnsi"/>
        </w:rPr>
        <w:t>.</w:t>
      </w:r>
    </w:p>
    <w:p w14:paraId="76B90A0A" w14:textId="0781F9C1" w:rsidR="00427195" w:rsidRDefault="00427195" w:rsidP="007940D4">
      <w:pPr>
        <w:pStyle w:val="Default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Finanční náklady s ohledem na novostavbu nejsou přesně vyčísleny, běžná údržba (sečení, zimní údržba) dosahuje </w:t>
      </w:r>
      <w:bookmarkStart w:id="0" w:name="_GoBack"/>
      <w:bookmarkEnd w:id="0"/>
      <w:r>
        <w:rPr>
          <w:rFonts w:asciiTheme="minorHAnsi" w:hAnsiTheme="minorHAnsi" w:cstheme="minorHAnsi"/>
        </w:rPr>
        <w:t>výše cca 5 tis. Kč.</w:t>
      </w:r>
    </w:p>
    <w:p w14:paraId="6D9CF459" w14:textId="77777777" w:rsidR="007940D4" w:rsidRPr="00041C0E" w:rsidRDefault="007940D4" w:rsidP="007940D4">
      <w:pPr>
        <w:pStyle w:val="Default"/>
        <w:ind w:left="1276"/>
        <w:jc w:val="both"/>
        <w:rPr>
          <w:rFonts w:asciiTheme="minorHAnsi" w:hAnsiTheme="minorHAnsi" w:cstheme="minorHAnsi"/>
        </w:rPr>
      </w:pPr>
    </w:p>
    <w:p w14:paraId="2FEAD384" w14:textId="77777777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Grafické přílohy, fotodokumentace</w:t>
      </w:r>
    </w:p>
    <w:p w14:paraId="5EC14CC3" w14:textId="77777777" w:rsidR="00F66867" w:rsidRPr="00041C0E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požadovaná dokumentace stavby musí obsahovat situaci, rozhodující půdorysy, popřípadě i dokumentaci významných konstrukčních řešení, stavebních detailů, či další dokumentaci nezbytnou pro správné hodnocení stavby.</w:t>
      </w:r>
    </w:p>
    <w:p w14:paraId="38AABE90" w14:textId="59BB3D47" w:rsidR="00F66867" w:rsidRPr="00041C0E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dále cca 5 ks fotografií, nejlépe celek i detail v rozlišení pro tiskové účely 300 dpi, formát *.</w:t>
      </w:r>
      <w:proofErr w:type="spellStart"/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jpg</w:t>
      </w:r>
      <w:proofErr w:type="spellEnd"/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 / *.</w:t>
      </w:r>
      <w:proofErr w:type="spellStart"/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pdf</w:t>
      </w:r>
      <w:proofErr w:type="spellEnd"/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).</w:t>
      </w:r>
    </w:p>
    <w:p w14:paraId="095D7F78" w14:textId="3D848014" w:rsidR="00F66867" w:rsidRPr="00041C0E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dokumentace zůstává majetkem vypisovatelů s právem publicity.</w:t>
      </w:r>
      <w:r w:rsidR="00F10DB4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br/>
      </w:r>
    </w:p>
    <w:p w14:paraId="62EFDA4F" w14:textId="77777777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Souhlas s používáním soutěžních podkladů:</w:t>
      </w:r>
    </w:p>
    <w:p w14:paraId="2D61A416" w14:textId="13BE3F3F" w:rsidR="00386A53" w:rsidRPr="00386A53" w:rsidRDefault="00F66867" w:rsidP="00386A5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Fonts w:asciiTheme="minorHAnsi" w:hAnsiTheme="minorHAnsi" w:cstheme="minorHAnsi"/>
          <w:shd w:val="clear" w:color="auto" w:fill="FFFFFF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Přihlašovatel prohlašuje, že je oprávněn udělit jménem všech vlastníků autorsko-majetkových práv souhlas se zpracováním dodaných podkladů a zveřejněním na </w:t>
      </w:r>
      <w:hyperlink r:id="rId11" w:history="1">
        <w:r w:rsidRPr="00041C0E">
          <w:rPr>
            <w:rStyle w:val="Siln"/>
            <w:rFonts w:asciiTheme="minorHAnsi" w:hAnsiTheme="minorHAnsi" w:cstheme="minorHAnsi"/>
            <w:b w:val="0"/>
            <w:bCs w:val="0"/>
            <w:shd w:val="clear" w:color="auto" w:fill="FFFFFF"/>
          </w:rPr>
          <w:t>www.citychangers.eu/</w:t>
        </w:r>
      </w:hyperlink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 pro účely výstavy, v mediích a v dalších </w:t>
      </w: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lastRenderedPageBreak/>
        <w:t>prezentacích a že podáním přihlášky neporušuje autorská a jiná práva třetích osob.</w:t>
      </w:r>
    </w:p>
    <w:sectPr w:rsidR="00386A53" w:rsidRPr="00386A53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DD4CC" w14:textId="77777777" w:rsidR="001C60AA" w:rsidRDefault="001C60AA" w:rsidP="00B54326">
      <w:r>
        <w:separator/>
      </w:r>
    </w:p>
  </w:endnote>
  <w:endnote w:type="continuationSeparator" w:id="0">
    <w:p w14:paraId="7889BD9E" w14:textId="77777777" w:rsidR="001C60AA" w:rsidRDefault="001C60AA" w:rsidP="00B54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AD24E0" w14:textId="77777777" w:rsidR="001C60AA" w:rsidRDefault="001C60AA" w:rsidP="00B54326">
      <w:r>
        <w:separator/>
      </w:r>
    </w:p>
  </w:footnote>
  <w:footnote w:type="continuationSeparator" w:id="0">
    <w:p w14:paraId="438B4106" w14:textId="77777777" w:rsidR="001C60AA" w:rsidRDefault="001C60AA" w:rsidP="00B54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B1D6F" w14:textId="1F6351EE" w:rsidR="00B54326" w:rsidRDefault="00330992" w:rsidP="00414E0E">
    <w:pPr>
      <w:pStyle w:val="Zhlav"/>
      <w:jc w:val="right"/>
    </w:pPr>
    <w:r>
      <w:rPr>
        <w:noProof/>
      </w:rPr>
      <w:drawing>
        <wp:anchor distT="0" distB="0" distL="114300" distR="114300" simplePos="0" relativeHeight="251661312" behindDoc="0" locked="0" layoutInCell="0" allowOverlap="1" wp14:anchorId="6C19A8BF" wp14:editId="55BAE64A">
          <wp:simplePos x="0" y="0"/>
          <wp:positionH relativeFrom="margin">
            <wp:posOffset>49823</wp:posOffset>
          </wp:positionH>
          <wp:positionV relativeFrom="topMargin">
            <wp:posOffset>149127</wp:posOffset>
          </wp:positionV>
          <wp:extent cx="477520" cy="702310"/>
          <wp:effectExtent l="0" t="0" r="0" b="254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3599" t="18847" r="27911" b="10390"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0" allowOverlap="1" wp14:anchorId="3FCF8915" wp14:editId="1C2BCBFC">
          <wp:simplePos x="0" y="0"/>
          <wp:positionH relativeFrom="page">
            <wp:posOffset>3516435</wp:posOffset>
          </wp:positionH>
          <wp:positionV relativeFrom="paragraph">
            <wp:posOffset>-449580</wp:posOffset>
          </wp:positionV>
          <wp:extent cx="3739271" cy="853511"/>
          <wp:effectExtent l="0" t="0" r="0" b="3810"/>
          <wp:wrapNone/>
          <wp:docPr id="1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0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739271" cy="853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C5364"/>
    <w:multiLevelType w:val="hybridMultilevel"/>
    <w:tmpl w:val="D70EED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181400"/>
    <w:multiLevelType w:val="hybridMultilevel"/>
    <w:tmpl w:val="5B02B3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66091CC">
      <w:numFmt w:val="bullet"/>
      <w:lvlText w:val="-"/>
      <w:lvlJc w:val="left"/>
      <w:pPr>
        <w:ind w:left="2880" w:hanging="360"/>
      </w:pPr>
      <w:rPr>
        <w:rFonts w:ascii="Calibri" w:eastAsia="Times New Roman" w:hAnsi="Calibri" w:cstheme="minorHAnsi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DB00ED"/>
    <w:multiLevelType w:val="hybridMultilevel"/>
    <w:tmpl w:val="444A40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DD81904"/>
    <w:multiLevelType w:val="hybridMultilevel"/>
    <w:tmpl w:val="D12AD09A"/>
    <w:lvl w:ilvl="0" w:tplc="6A04A6F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0E93845"/>
    <w:multiLevelType w:val="hybridMultilevel"/>
    <w:tmpl w:val="D5B6286C"/>
    <w:lvl w:ilvl="0" w:tplc="6A04A6F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66091CC">
      <w:numFmt w:val="bullet"/>
      <w:lvlText w:val="-"/>
      <w:lvlJc w:val="left"/>
      <w:pPr>
        <w:ind w:left="3960" w:hanging="360"/>
      </w:pPr>
      <w:rPr>
        <w:rFonts w:ascii="Calibri" w:eastAsia="Times New Roman" w:hAnsi="Calibri" w:cstheme="minorHAnsi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E442411"/>
    <w:multiLevelType w:val="hybridMultilevel"/>
    <w:tmpl w:val="01ECFA1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C152020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0C941D8"/>
    <w:multiLevelType w:val="hybridMultilevel"/>
    <w:tmpl w:val="21DC792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2F23158"/>
    <w:multiLevelType w:val="hybridMultilevel"/>
    <w:tmpl w:val="684822F4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6E86306"/>
    <w:multiLevelType w:val="hybridMultilevel"/>
    <w:tmpl w:val="733E846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BE605F0"/>
    <w:multiLevelType w:val="hybridMultilevel"/>
    <w:tmpl w:val="DB8C371A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867"/>
    <w:rsid w:val="00013B47"/>
    <w:rsid w:val="00041C0E"/>
    <w:rsid w:val="0005781E"/>
    <w:rsid w:val="000A3A4F"/>
    <w:rsid w:val="000C6BF2"/>
    <w:rsid w:val="000E2314"/>
    <w:rsid w:val="000E793B"/>
    <w:rsid w:val="00113D6B"/>
    <w:rsid w:val="001255E6"/>
    <w:rsid w:val="00127798"/>
    <w:rsid w:val="00170805"/>
    <w:rsid w:val="001B14C0"/>
    <w:rsid w:val="001C60AA"/>
    <w:rsid w:val="00283FE3"/>
    <w:rsid w:val="00330992"/>
    <w:rsid w:val="00386A53"/>
    <w:rsid w:val="00414E0E"/>
    <w:rsid w:val="00427195"/>
    <w:rsid w:val="004945E8"/>
    <w:rsid w:val="004D48FB"/>
    <w:rsid w:val="00550D09"/>
    <w:rsid w:val="0055492C"/>
    <w:rsid w:val="00565C16"/>
    <w:rsid w:val="005F0209"/>
    <w:rsid w:val="00603ED5"/>
    <w:rsid w:val="00611C4E"/>
    <w:rsid w:val="0062129C"/>
    <w:rsid w:val="00633B9D"/>
    <w:rsid w:val="006354DB"/>
    <w:rsid w:val="00666761"/>
    <w:rsid w:val="006B36AF"/>
    <w:rsid w:val="006F2570"/>
    <w:rsid w:val="00702DC2"/>
    <w:rsid w:val="00780E9C"/>
    <w:rsid w:val="007940D4"/>
    <w:rsid w:val="007F60E1"/>
    <w:rsid w:val="00851A43"/>
    <w:rsid w:val="00854129"/>
    <w:rsid w:val="00871033"/>
    <w:rsid w:val="00881492"/>
    <w:rsid w:val="00915561"/>
    <w:rsid w:val="00921637"/>
    <w:rsid w:val="009C4848"/>
    <w:rsid w:val="00A6732B"/>
    <w:rsid w:val="00A74DB1"/>
    <w:rsid w:val="00A84881"/>
    <w:rsid w:val="00A964C7"/>
    <w:rsid w:val="00AC79F4"/>
    <w:rsid w:val="00B348A7"/>
    <w:rsid w:val="00B54326"/>
    <w:rsid w:val="00B551BC"/>
    <w:rsid w:val="00BC6342"/>
    <w:rsid w:val="00BE0FD5"/>
    <w:rsid w:val="00BF405D"/>
    <w:rsid w:val="00CB24A0"/>
    <w:rsid w:val="00CE6B16"/>
    <w:rsid w:val="00D25A54"/>
    <w:rsid w:val="00D4714A"/>
    <w:rsid w:val="00D64786"/>
    <w:rsid w:val="00D83DA3"/>
    <w:rsid w:val="00D904FF"/>
    <w:rsid w:val="00DD30DD"/>
    <w:rsid w:val="00DE1DE2"/>
    <w:rsid w:val="00DF58C2"/>
    <w:rsid w:val="00E14F72"/>
    <w:rsid w:val="00EA3923"/>
    <w:rsid w:val="00EC01FA"/>
    <w:rsid w:val="00EC0BAC"/>
    <w:rsid w:val="00EF049C"/>
    <w:rsid w:val="00F04BCD"/>
    <w:rsid w:val="00F10DB4"/>
    <w:rsid w:val="00F66867"/>
    <w:rsid w:val="00FA1042"/>
    <w:rsid w:val="00FE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B62C"/>
  <w15:chartTrackingRefBased/>
  <w15:docId w15:val="{D3F6A969-3FEB-4D48-AF4F-636418B6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020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6686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F66867"/>
  </w:style>
  <w:style w:type="character" w:styleId="Siln">
    <w:name w:val="Strong"/>
    <w:qFormat/>
    <w:rsid w:val="00F66867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543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4326"/>
  </w:style>
  <w:style w:type="paragraph" w:styleId="Zpat">
    <w:name w:val="footer"/>
    <w:basedOn w:val="Normln"/>
    <w:link w:val="ZpatChar"/>
    <w:uiPriority w:val="99"/>
    <w:unhideWhenUsed/>
    <w:rsid w:val="00B543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4326"/>
  </w:style>
  <w:style w:type="paragraph" w:styleId="Odstavecseseznamem">
    <w:name w:val="List Paragraph"/>
    <w:basedOn w:val="Normln"/>
    <w:uiPriority w:val="34"/>
    <w:qFormat/>
    <w:rsid w:val="005F020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C0BA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C0BAC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3B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3B4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cz/s/hosacejuc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tace@ub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itychangers.eu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ferdinand.kubanik@ub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y.cz/s/ponehodot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1596</Words>
  <Characters>9419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Vrtalova</dc:creator>
  <cp:keywords/>
  <dc:description/>
  <cp:lastModifiedBy>Guryčová Kateřina, Ing.</cp:lastModifiedBy>
  <cp:revision>5</cp:revision>
  <dcterms:created xsi:type="dcterms:W3CDTF">2022-01-14T08:28:00Z</dcterms:created>
  <dcterms:modified xsi:type="dcterms:W3CDTF">2022-01-14T12:14:00Z</dcterms:modified>
</cp:coreProperties>
</file>